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rPr>
          <w:rFonts w:ascii="Times New Roman"/>
          <w:sz w:val="20"/>
        </w:rPr>
      </w:pPr>
      <w:bookmarkStart w:id="0" w:name="_GoBack"/>
      <w:bookmarkEnd w:id="0"/>
    </w:p>
    <w:p>
      <w:pPr>
        <w:pStyle w:val="BodyText"/>
        <w:rPr>
          <w:rFonts w:ascii="Times New Roman"/>
          <w:sz w:val="20"/>
        </w:rPr>
      </w:pPr>
    </w:p>
    <w:p>
      <w:pPr>
        <w:pStyle w:val="BodyText"/>
        <w:rPr>
          <w:rFonts w:ascii="Times New Roman"/>
          <w:sz w:val="20"/>
        </w:rPr>
      </w:pPr>
    </w:p>
    <w:p>
      <w:pPr>
        <w:pStyle w:val="BodyText"/>
        <w:ind w:left="103"/>
        <w:rPr>
          <w:rFonts w:ascii="Times New Roman"/>
          <w:sz w:val="20"/>
        </w:rPr>
      </w:pPr>
      <w:r>
        <w:rPr>
          <w:rFonts w:ascii="Times New Roman"/>
          <w:noProof/>
          <w:sz w:val="20"/>
          <w:lang w:val="en-GB" w:eastAsia="en-GB"/>
        </w:rPr>
        <w:drawing>
          <wp:inline distT="0" distB="0" distL="0" distR="0">
            <wp:extent cx="5270499" cy="372617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70499" cy="3726179"/>
                    </a:xfrm>
                    <a:prstGeom prst="rect">
                      <a:avLst/>
                    </a:prstGeom>
                  </pic:spPr>
                </pic:pic>
              </a:graphicData>
            </a:graphic>
          </wp:inline>
        </w:drawing>
      </w:r>
    </w:p>
    <w:p>
      <w:pPr>
        <w:pStyle w:val="BodyText"/>
        <w:spacing w:before="4"/>
        <w:rPr>
          <w:rFonts w:ascii="Times New Roman"/>
          <w:sz w:val="26"/>
        </w:rPr>
      </w:pPr>
    </w:p>
    <w:p>
      <w:pPr>
        <w:pStyle w:val="Heading1"/>
        <w:rPr>
          <w:b/>
        </w:rPr>
      </w:pPr>
      <w:r>
        <w:rPr>
          <w:b/>
        </w:rPr>
        <w:t>ST. JOHN THE</w:t>
      </w:r>
    </w:p>
    <w:p>
      <w:pPr>
        <w:spacing w:line="769" w:lineRule="exact"/>
        <w:ind w:left="1665" w:right="1685"/>
        <w:jc w:val="center"/>
        <w:rPr>
          <w:rFonts w:ascii="Batang" w:hAnsi="Batang"/>
          <w:b/>
          <w:sz w:val="56"/>
        </w:rPr>
      </w:pPr>
      <w:r>
        <w:rPr>
          <w:rFonts w:ascii="Batang" w:hAnsi="Batang"/>
          <w:b/>
          <w:sz w:val="56"/>
        </w:rPr>
        <w:t>BAPTIST</w:t>
      </w:r>
      <w:r>
        <w:rPr>
          <w:rFonts w:ascii="Microsoft Sans Serif" w:hAnsi="Microsoft Sans Serif"/>
          <w:b/>
          <w:sz w:val="56"/>
        </w:rPr>
        <w:t>’</w:t>
      </w:r>
      <w:r>
        <w:rPr>
          <w:rFonts w:ascii="Batang" w:hAnsi="Batang"/>
          <w:b/>
          <w:sz w:val="56"/>
        </w:rPr>
        <w:t>S COLLEGE</w:t>
      </w:r>
    </w:p>
    <w:p>
      <w:pPr>
        <w:pStyle w:val="BodyText"/>
        <w:rPr>
          <w:rFonts w:ascii="Batang"/>
          <w:sz w:val="58"/>
        </w:rPr>
      </w:pPr>
    </w:p>
    <w:p>
      <w:pPr>
        <w:pStyle w:val="BodyText"/>
        <w:spacing w:before="6"/>
        <w:rPr>
          <w:rFonts w:ascii="Batang"/>
          <w:sz w:val="56"/>
        </w:rPr>
      </w:pPr>
    </w:p>
    <w:p>
      <w:pPr>
        <w:ind w:left="1665" w:right="1683"/>
        <w:jc w:val="center"/>
        <w:rPr>
          <w:rFonts w:ascii="Microsoft Sans Serif"/>
          <w:sz w:val="32"/>
          <w:u w:val="single"/>
        </w:rPr>
      </w:pPr>
      <w:r>
        <w:rPr>
          <w:rFonts w:ascii="Microsoft Sans Serif"/>
          <w:sz w:val="32"/>
          <w:u w:val="single"/>
        </w:rPr>
        <w:t>CONTINGENCY PLAN POLICY</w:t>
      </w:r>
    </w:p>
    <w:p>
      <w:pPr>
        <w:pStyle w:val="Default"/>
        <w:rPr>
          <w:b/>
          <w:bCs/>
          <w:sz w:val="23"/>
          <w:szCs w:val="23"/>
        </w:rPr>
      </w:pPr>
    </w:p>
    <w:p>
      <w:pPr>
        <w:pStyle w:val="Default"/>
        <w:rPr>
          <w:sz w:val="23"/>
          <w:szCs w:val="23"/>
        </w:rPr>
      </w:pPr>
      <w:r>
        <w:rPr>
          <w:b/>
          <w:bCs/>
          <w:sz w:val="23"/>
          <w:szCs w:val="23"/>
        </w:rPr>
        <w:t xml:space="preserve">Review Date: 28.09.2021 </w:t>
      </w:r>
    </w:p>
    <w:p>
      <w:pPr>
        <w:pStyle w:val="Default"/>
        <w:rPr>
          <w:b/>
          <w:bCs/>
          <w:sz w:val="23"/>
          <w:szCs w:val="23"/>
        </w:rPr>
      </w:pPr>
    </w:p>
    <w:p>
      <w:pPr>
        <w:pStyle w:val="Default"/>
        <w:rPr>
          <w:sz w:val="23"/>
          <w:szCs w:val="23"/>
        </w:rPr>
      </w:pPr>
      <w:r>
        <w:rPr>
          <w:b/>
          <w:bCs/>
          <w:sz w:val="23"/>
          <w:szCs w:val="23"/>
        </w:rPr>
        <w:t xml:space="preserve">Date of Next Review: Autumn Term 2022/23 </w:t>
      </w:r>
    </w:p>
    <w:p>
      <w:pPr>
        <w:pStyle w:val="Default"/>
        <w:rPr>
          <w:b/>
          <w:bCs/>
          <w:sz w:val="23"/>
          <w:szCs w:val="23"/>
        </w:rPr>
      </w:pPr>
    </w:p>
    <w:p>
      <w:pPr>
        <w:pStyle w:val="Default"/>
        <w:rPr>
          <w:sz w:val="23"/>
          <w:szCs w:val="23"/>
        </w:rPr>
      </w:pPr>
      <w:r>
        <w:rPr>
          <w:b/>
          <w:bCs/>
          <w:sz w:val="23"/>
          <w:szCs w:val="23"/>
        </w:rPr>
        <w:t xml:space="preserve">Prepared by: P. Rath </w:t>
      </w:r>
    </w:p>
    <w:p>
      <w:pPr>
        <w:pStyle w:val="Default"/>
        <w:rPr>
          <w:sz w:val="23"/>
          <w:szCs w:val="23"/>
        </w:rPr>
      </w:pPr>
      <w:r>
        <w:rPr>
          <w:b/>
          <w:bCs/>
          <w:sz w:val="23"/>
          <w:szCs w:val="23"/>
        </w:rPr>
        <w:t xml:space="preserve">Committee: SLT </w:t>
      </w:r>
    </w:p>
    <w:p>
      <w:pPr>
        <w:rPr>
          <w:rFonts w:ascii="Verdana" w:hAnsi="Verdana"/>
          <w:b/>
          <w:bCs/>
          <w:sz w:val="24"/>
          <w:szCs w:val="24"/>
          <w:lang w:val="en"/>
        </w:rPr>
      </w:pPr>
    </w:p>
    <w:p>
      <w:pPr>
        <w:rPr>
          <w:rFonts w:ascii="Verdana" w:hAnsi="Verdana"/>
          <w:b/>
          <w:bCs/>
          <w:sz w:val="24"/>
          <w:szCs w:val="24"/>
          <w:lang w:val="en"/>
        </w:rPr>
      </w:pPr>
    </w:p>
    <w:p>
      <w:pPr>
        <w:rPr>
          <w:rFonts w:ascii="Verdana" w:hAnsi="Verdana"/>
          <w:b/>
          <w:bCs/>
          <w:sz w:val="24"/>
          <w:szCs w:val="24"/>
          <w:lang w:val="en"/>
        </w:rPr>
      </w:pPr>
      <w:r>
        <w:rPr>
          <w:rFonts w:ascii="Verdana" w:hAnsi="Verdana"/>
          <w:b/>
          <w:bCs/>
          <w:sz w:val="24"/>
          <w:szCs w:val="24"/>
          <w:lang w:val="en"/>
        </w:rPr>
        <w:lastRenderedPageBreak/>
        <w:t>The purpose of the plan</w:t>
      </w:r>
    </w:p>
    <w:p>
      <w:pPr>
        <w:rPr>
          <w:rFonts w:ascii="Verdana" w:hAnsi="Verdana"/>
          <w:bCs/>
          <w:sz w:val="24"/>
          <w:szCs w:val="24"/>
          <w:lang w:val="en"/>
        </w:rPr>
      </w:pPr>
      <w:r>
        <w:rPr>
          <w:rFonts w:ascii="Verdana" w:hAnsi="Verdana"/>
          <w:bCs/>
          <w:sz w:val="24"/>
          <w:szCs w:val="24"/>
          <w:lang w:val="en"/>
        </w:rPr>
        <w:t>The purpose of the joint contingency plan is to ensure there is a consistent and effective response in the event of major disruption to the examination system.</w:t>
      </w:r>
    </w:p>
    <w:p>
      <w:pPr>
        <w:rPr>
          <w:rFonts w:ascii="Verdana" w:hAnsi="Verdana"/>
          <w:b/>
          <w:bCs/>
          <w:sz w:val="24"/>
          <w:szCs w:val="24"/>
          <w:lang w:val="en"/>
        </w:rPr>
      </w:pPr>
      <w:r>
        <w:rPr>
          <w:rFonts w:ascii="Verdana" w:hAnsi="Verdana"/>
          <w:b/>
          <w:bCs/>
          <w:sz w:val="24"/>
          <w:szCs w:val="24"/>
          <w:lang w:val="en"/>
        </w:rPr>
        <w:t>The outcomes of the plan</w:t>
      </w:r>
    </w:p>
    <w:p>
      <w:pPr>
        <w:rPr>
          <w:rFonts w:ascii="Verdana" w:hAnsi="Verdana"/>
          <w:bCs/>
          <w:sz w:val="24"/>
          <w:szCs w:val="24"/>
          <w:lang w:val="en"/>
        </w:rPr>
      </w:pPr>
      <w:r>
        <w:rPr>
          <w:rFonts w:ascii="Verdana" w:hAnsi="Verdana"/>
          <w:bCs/>
          <w:sz w:val="24"/>
          <w:szCs w:val="24"/>
          <w:lang w:val="en"/>
        </w:rPr>
        <w:t xml:space="preserve">The overall outcome of the plan is to ensure that the interests of candidates are safeguarded while maintaining the integrity of the examination system and qualification standards. </w:t>
      </w:r>
      <w:r>
        <w:rPr>
          <w:rFonts w:ascii="Verdana" w:hAnsi="Verdana"/>
          <w:bCs/>
          <w:sz w:val="24"/>
          <w:szCs w:val="24"/>
          <w:lang w:val="en"/>
        </w:rPr>
        <w:t> </w:t>
      </w:r>
    </w:p>
    <w:p>
      <w:pPr>
        <w:rPr>
          <w:rFonts w:ascii="Verdana" w:hAnsi="Verdana"/>
          <w:b/>
          <w:bCs/>
          <w:sz w:val="24"/>
          <w:szCs w:val="24"/>
          <w:lang w:val="en"/>
        </w:rPr>
      </w:pPr>
      <w:r>
        <w:rPr>
          <w:rFonts w:ascii="Verdana" w:hAnsi="Verdana"/>
          <w:b/>
          <w:bCs/>
          <w:sz w:val="24"/>
          <w:szCs w:val="24"/>
          <w:lang w:val="en"/>
        </w:rPr>
        <w:t>Qualifications covered by the plan</w:t>
      </w:r>
    </w:p>
    <w:p>
      <w:pPr>
        <w:rPr>
          <w:rFonts w:ascii="Verdana" w:hAnsi="Verdana"/>
          <w:bCs/>
          <w:sz w:val="24"/>
          <w:szCs w:val="24"/>
          <w:lang w:val="en"/>
        </w:rPr>
      </w:pPr>
      <w:r>
        <w:rPr>
          <w:rFonts w:ascii="Verdana" w:hAnsi="Verdana"/>
          <w:bCs/>
          <w:sz w:val="24"/>
          <w:szCs w:val="24"/>
          <w:lang w:val="en"/>
        </w:rPr>
        <w:t>The qualifications covered by the plan are primarily externally assessed examinations delivered in schools. These include GCSEs.</w:t>
      </w:r>
    </w:p>
    <w:p>
      <w:pPr>
        <w:rPr>
          <w:rFonts w:ascii="Verdana" w:hAnsi="Verdana"/>
          <w:b/>
          <w:bCs/>
          <w:sz w:val="24"/>
          <w:szCs w:val="24"/>
          <w:lang w:val="en"/>
        </w:rPr>
      </w:pPr>
      <w:r>
        <w:rPr>
          <w:rFonts w:ascii="Verdana" w:hAnsi="Verdana"/>
          <w:b/>
          <w:bCs/>
          <w:sz w:val="24"/>
          <w:szCs w:val="24"/>
          <w:lang w:val="en"/>
        </w:rPr>
        <w:t>When the plan would be triggered</w:t>
      </w:r>
    </w:p>
    <w:p>
      <w:pPr>
        <w:rPr>
          <w:rFonts w:ascii="Verdana" w:hAnsi="Verdana"/>
          <w:bCs/>
          <w:sz w:val="24"/>
          <w:szCs w:val="24"/>
          <w:lang w:val="en"/>
        </w:rPr>
      </w:pPr>
      <w:r>
        <w:rPr>
          <w:rFonts w:ascii="Verdana" w:hAnsi="Verdana"/>
          <w:bCs/>
          <w:sz w:val="24"/>
          <w:szCs w:val="24"/>
          <w:lang w:val="en"/>
        </w:rPr>
        <w:t>The plan would be triggered in the event of a major disruption to the examination system affecting significant numbers of candidates across several awarding organizations.</w:t>
      </w:r>
    </w:p>
    <w:p>
      <w:pPr>
        <w:rPr>
          <w:rFonts w:ascii="Verdana" w:hAnsi="Verdana"/>
          <w:bCs/>
          <w:sz w:val="24"/>
          <w:szCs w:val="24"/>
          <w:lang w:val="en"/>
        </w:rPr>
      </w:pPr>
      <w:r>
        <w:rPr>
          <w:rFonts w:ascii="Verdana" w:hAnsi="Verdana"/>
          <w:bCs/>
          <w:sz w:val="24"/>
          <w:szCs w:val="24"/>
          <w:lang w:val="en"/>
        </w:rPr>
        <w:t>This could include severe weather, widespread illness, travel disruption, fires, logistical problems or system failures.</w:t>
      </w:r>
    </w:p>
    <w:p>
      <w:pPr>
        <w:rPr>
          <w:rFonts w:ascii="Verdana" w:hAnsi="Verdana"/>
          <w:bCs/>
          <w:sz w:val="24"/>
          <w:szCs w:val="24"/>
          <w:lang w:val="en"/>
        </w:rPr>
      </w:pPr>
      <w:r>
        <w:rPr>
          <w:rFonts w:ascii="Verdana" w:hAnsi="Verdana"/>
          <w:bCs/>
          <w:sz w:val="24"/>
          <w:szCs w:val="24"/>
          <w:lang w:val="en"/>
        </w:rPr>
        <w:t>Any actions taken will be subject to the advice of the official agencies dealing with the specific circumstances being faced, for example the police, Environment Agency or Health Protection Agency.</w:t>
      </w:r>
    </w:p>
    <w:p>
      <w:pPr>
        <w:rPr>
          <w:rFonts w:ascii="Verdana" w:hAnsi="Verdana"/>
          <w:b/>
          <w:bCs/>
          <w:sz w:val="24"/>
          <w:szCs w:val="24"/>
          <w:lang w:val="en"/>
        </w:rPr>
      </w:pPr>
      <w:r>
        <w:rPr>
          <w:rFonts w:ascii="Verdana" w:hAnsi="Verdana"/>
          <w:b/>
          <w:bCs/>
          <w:sz w:val="24"/>
          <w:szCs w:val="24"/>
          <w:lang w:val="en"/>
        </w:rPr>
        <w:t>Communication</w:t>
      </w:r>
    </w:p>
    <w:p>
      <w:pPr>
        <w:rPr>
          <w:rFonts w:ascii="Verdana" w:hAnsi="Verdana"/>
          <w:bCs/>
          <w:sz w:val="24"/>
          <w:szCs w:val="24"/>
          <w:lang w:val="en"/>
        </w:rPr>
      </w:pPr>
      <w:r>
        <w:rPr>
          <w:rFonts w:ascii="Verdana" w:hAnsi="Verdana"/>
          <w:bCs/>
          <w:sz w:val="24"/>
          <w:szCs w:val="24"/>
          <w:lang w:val="en"/>
        </w:rPr>
        <w:t>This includes communications between the organizations involved in the response, and communications to stakeholders such as centers, candidates, parents or carers and the public.</w:t>
      </w:r>
    </w:p>
    <w:p>
      <w:pPr>
        <w:rPr>
          <w:rFonts w:ascii="Verdana" w:hAnsi="Verdana"/>
          <w:b/>
          <w:bCs/>
          <w:sz w:val="24"/>
          <w:szCs w:val="24"/>
          <w:u w:val="single"/>
          <w:lang w:val="en"/>
        </w:rPr>
      </w:pPr>
      <w:r>
        <w:rPr>
          <w:rFonts w:ascii="Verdana" w:hAnsi="Verdana"/>
          <w:b/>
          <w:bCs/>
          <w:sz w:val="24"/>
          <w:szCs w:val="24"/>
          <w:u w:val="single"/>
          <w:lang w:val="en"/>
        </w:rPr>
        <w:t>Scenario 1 – Disruption of teaching time – a significant number of centres are closed for an extended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6882"/>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Disruption to candidates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Teachers,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 xml:space="preserve">In the event that a significant number of centres are closed, and candidates are unable to attend for an extended period during normal teaching or study supported time, interrupting the provision of normal </w:t>
            </w:r>
            <w:r>
              <w:rPr>
                <w:rFonts w:ascii="Verdana" w:hAnsi="Verdana"/>
                <w:sz w:val="24"/>
                <w:szCs w:val="24"/>
              </w:rPr>
              <w:lastRenderedPageBreak/>
              <w:t>teaching and learning.</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Example of scenario</w:t>
            </w:r>
          </w:p>
        </w:tc>
        <w:tc>
          <w:tcPr>
            <w:tcW w:w="0" w:type="auto"/>
            <w:vAlign w:val="center"/>
            <w:hideMark/>
          </w:tcPr>
          <w:p>
            <w:pPr>
              <w:rPr>
                <w:rFonts w:ascii="Verdana" w:hAnsi="Verdana"/>
                <w:sz w:val="24"/>
                <w:szCs w:val="24"/>
              </w:rPr>
            </w:pPr>
            <w:r>
              <w:rPr>
                <w:rFonts w:ascii="Verdana" w:hAnsi="Verdana"/>
                <w:sz w:val="24"/>
                <w:szCs w:val="24"/>
              </w:rPr>
              <w:t>Severe flooding closes a significant number of centres in a region.</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Where there is disruption to teaching time and students miss teaching and learning, it remains the responsibility of centres to prepare students for examinations as usual using the Parent App and posting relevant teaching materials on the school website and Facebook pages.</w:t>
            </w:r>
            <w:r>
              <w:rPr>
                <w:rFonts w:ascii="Verdana" w:hAnsi="Verdana"/>
                <w:sz w:val="24"/>
                <w:szCs w:val="24"/>
              </w:rPr>
              <w:br/>
            </w:r>
            <w:r>
              <w:rPr>
                <w:rFonts w:ascii="Verdana" w:hAnsi="Verdana"/>
                <w:sz w:val="24"/>
                <w:szCs w:val="24"/>
              </w:rPr>
              <w:br/>
              <w:t>It is recommended that centres:</w:t>
            </w:r>
            <w:r>
              <w:rPr>
                <w:rFonts w:ascii="Verdana" w:hAnsi="Verdana"/>
                <w:sz w:val="24"/>
                <w:szCs w:val="24"/>
              </w:rPr>
              <w:br/>
              <w:t>- have contingency plans in place to facilitate alternative methods of learning, alternative venues or both. If necessary exam pupils may be taught in the Pastoral Centre.</w:t>
            </w:r>
            <w:r>
              <w:rPr>
                <w:rFonts w:ascii="Verdana" w:hAnsi="Verdana"/>
                <w:sz w:val="24"/>
                <w:szCs w:val="24"/>
              </w:rPr>
              <w:br/>
              <w:t>- prioritise candidates who will be facing examinations shortly</w:t>
            </w:r>
            <w:r>
              <w:rPr>
                <w:rFonts w:ascii="Verdana" w:hAnsi="Verdana"/>
                <w:sz w:val="24"/>
                <w:szCs w:val="24"/>
              </w:rPr>
              <w:br/>
              <w:t>- advise candidates, where appropriate, to sit examinations in the next available series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 xml:space="preserve">The centre will communicate with relevant exam boards, parents, carers and students about the potential for disruption to teaching time and plans to address this. Parents will be notified of alternative arrangements through the Parent App, school website &amp; Facebook pages and, if necessary, text message.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Students continue to be taught either through an alternative method of learning or at an alternative venue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 xml:space="preserve">Guidance on emergency planning, with </w:t>
            </w:r>
            <w:hyperlink r:id="rId8" w:history="1">
              <w:r>
                <w:rPr>
                  <w:rStyle w:val="Hyperlink"/>
                  <w:rFonts w:ascii="Verdana" w:hAnsi="Verdana"/>
                  <w:sz w:val="24"/>
                  <w:szCs w:val="24"/>
                </w:rPr>
                <w:t>advice on severe weather</w:t>
              </w:r>
            </w:hyperlink>
            <w:r>
              <w:rPr>
                <w:rFonts w:ascii="Verdana" w:hAnsi="Verdana"/>
                <w:sz w:val="24"/>
                <w:szCs w:val="24"/>
              </w:rPr>
              <w:t>, is available from the Department for Education</w:t>
            </w:r>
            <w:r>
              <w:rPr>
                <w:rFonts w:ascii="Verdana" w:hAnsi="Verdana"/>
                <w:sz w:val="24"/>
                <w:szCs w:val="24"/>
              </w:rPr>
              <w:br/>
            </w:r>
            <w:r>
              <w:rPr>
                <w:rFonts w:ascii="Verdana" w:hAnsi="Verdana"/>
                <w:sz w:val="24"/>
                <w:szCs w:val="24"/>
              </w:rPr>
              <w:br/>
              <w:t xml:space="preserve">There is also </w:t>
            </w:r>
            <w:hyperlink r:id="rId9" w:history="1">
              <w:r>
                <w:rPr>
                  <w:rStyle w:val="Hyperlink"/>
                  <w:rFonts w:ascii="Verdana" w:hAnsi="Verdana"/>
                  <w:sz w:val="24"/>
                  <w:szCs w:val="24"/>
                </w:rPr>
                <w:t>statutory guidance on school closures</w:t>
              </w:r>
            </w:hyperlink>
            <w:r>
              <w:rPr>
                <w:rFonts w:ascii="Verdana" w:hAnsi="Verdana"/>
                <w:sz w:val="24"/>
                <w:szCs w:val="24"/>
              </w:rPr>
              <w:br/>
            </w:r>
            <w:r>
              <w:rPr>
                <w:rFonts w:ascii="Verdana" w:hAnsi="Verdana"/>
                <w:sz w:val="24"/>
                <w:szCs w:val="24"/>
              </w:rPr>
              <w:br/>
              <w:t xml:space="preserve">Further advice from the Department of Education Northern Ireland can be found in the Useful Information </w:t>
            </w:r>
            <w:r>
              <w:rPr>
                <w:rFonts w:ascii="Verdana" w:hAnsi="Verdana"/>
                <w:sz w:val="24"/>
                <w:szCs w:val="24"/>
              </w:rPr>
              <w:lastRenderedPageBreak/>
              <w:t>section of this document.</w:t>
            </w:r>
          </w:p>
        </w:tc>
      </w:tr>
    </w:tbl>
    <w:p>
      <w:pPr>
        <w:rPr>
          <w:rFonts w:ascii="Verdana" w:hAnsi="Verdana"/>
          <w:b/>
          <w:bCs/>
          <w:sz w:val="24"/>
          <w:szCs w:val="24"/>
          <w:u w:val="single"/>
          <w:lang w:val="en"/>
        </w:rPr>
      </w:pPr>
      <w:r>
        <w:rPr>
          <w:rFonts w:ascii="Verdana" w:hAnsi="Verdana"/>
          <w:b/>
          <w:bCs/>
          <w:sz w:val="24"/>
          <w:szCs w:val="24"/>
          <w:u w:val="single"/>
          <w:lang w:val="en"/>
        </w:rPr>
        <w:lastRenderedPageBreak/>
        <w:t>3.2 Scenario 2 – Candidates unable to take examinations because of a crisis – centres remain open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6894"/>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Disruption to candidates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School and college staff, teachers,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candidates are unable to attend examination centres to take examinations as normal.</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sickness bug means that a number of candidates are not able to attend a centre to take an examination.</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centres:</w:t>
            </w:r>
            <w:r>
              <w:rPr>
                <w:rFonts w:ascii="Verdana" w:hAnsi="Verdana"/>
                <w:sz w:val="24"/>
                <w:szCs w:val="24"/>
              </w:rPr>
              <w:br/>
              <w:t>- liaise with candidates to identify whether the examination can be sat at an alternative venue in agreement with the relevant awarding organisations. Possibly the library in school (depending on the number of pupils) or the Pastoral Centre.</w:t>
            </w:r>
            <w:r>
              <w:rPr>
                <w:rFonts w:ascii="Verdana" w:hAnsi="Verdana"/>
                <w:sz w:val="24"/>
                <w:szCs w:val="24"/>
              </w:rPr>
              <w:br/>
              <w:t>- offer candidates an opportunity to sit any examinations missed at the next available series.</w:t>
            </w:r>
            <w:r>
              <w:rPr>
                <w:rFonts w:ascii="Verdana" w:hAnsi="Verdana"/>
                <w:sz w:val="24"/>
                <w:szCs w:val="24"/>
              </w:rPr>
              <w:br/>
              <w:t>- apply to awarding organisations for special consideration for candidates where they have met the minimum requirements.</w:t>
            </w:r>
            <w:r>
              <w:rPr>
                <w:rFonts w:ascii="Verdana" w:hAnsi="Verdana"/>
                <w:sz w:val="24"/>
                <w:szCs w:val="24"/>
              </w:rPr>
              <w:br/>
            </w:r>
            <w:r>
              <w:rPr>
                <w:rFonts w:ascii="Verdana" w:hAnsi="Verdana"/>
                <w:sz w:val="24"/>
                <w:szCs w:val="24"/>
              </w:rPr>
              <w:br/>
              <w:t>Please note: candidates are only eligible for special consideration if they have been fully prepared and have covered the whole course but are affected by adverse circumstances beyond their control. If a candidate chooses not to sit an examination for other reasons they should be aware that special consideration rules will not apply.</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 xml:space="preserve">The centre will liaise with relevant awarding organisations at the outset to make them aware of the issue. The centre to communicate with parents, carers and candidates regarding solutions to the issue. Correspondence through the Parent App, school website </w:t>
            </w:r>
            <w:r>
              <w:rPr>
                <w:rFonts w:ascii="Verdana" w:hAnsi="Verdana"/>
                <w:sz w:val="24"/>
                <w:szCs w:val="24"/>
              </w:rPr>
              <w:lastRenderedPageBreak/>
              <w:t xml:space="preserve">&amp; Facebook pages and, if necessary, text message.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Success criteria</w:t>
            </w:r>
          </w:p>
        </w:tc>
        <w:tc>
          <w:tcPr>
            <w:tcW w:w="0" w:type="auto"/>
            <w:vAlign w:val="center"/>
            <w:hideMark/>
          </w:tcPr>
          <w:p>
            <w:pPr>
              <w:rPr>
                <w:rFonts w:ascii="Verdana" w:hAnsi="Verdana"/>
                <w:sz w:val="24"/>
                <w:szCs w:val="24"/>
              </w:rPr>
            </w:pPr>
            <w:r>
              <w:rPr>
                <w:rFonts w:ascii="Verdana" w:hAnsi="Verdana"/>
                <w:sz w:val="24"/>
                <w:szCs w:val="24"/>
              </w:rPr>
              <w:t>Candidates are able to sit examinations with minimum disruption or additional stress to them.</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 xml:space="preserve">JCQ’s guidance on special consideration and alternative site arrangements can be accessed through the </w:t>
            </w:r>
            <w:hyperlink r:id="rId10" w:history="1">
              <w:r>
                <w:rPr>
                  <w:rStyle w:val="Hyperlink"/>
                  <w:rFonts w:ascii="Verdana" w:hAnsi="Verdana"/>
                  <w:sz w:val="24"/>
                  <w:szCs w:val="24"/>
                </w:rPr>
                <w:t>JCQ website</w:t>
              </w:r>
            </w:hyperlink>
            <w:r>
              <w:rPr>
                <w:rFonts w:ascii="Verdana" w:hAnsi="Verdana"/>
                <w:sz w:val="24"/>
                <w:szCs w:val="24"/>
              </w:rPr>
              <w:t>.</w:t>
            </w:r>
          </w:p>
        </w:tc>
      </w:tr>
    </w:tbl>
    <w:p>
      <w:pPr>
        <w:rPr>
          <w:rFonts w:ascii="Verdana" w:hAnsi="Verdana"/>
          <w:b/>
          <w:bCs/>
          <w:sz w:val="24"/>
          <w:szCs w:val="24"/>
          <w:u w:val="single"/>
          <w:lang w:val="en"/>
        </w:rPr>
      </w:pPr>
      <w:r>
        <w:rPr>
          <w:rFonts w:ascii="Verdana" w:hAnsi="Verdana"/>
          <w:b/>
          <w:bCs/>
          <w:sz w:val="24"/>
          <w:szCs w:val="24"/>
          <w:u w:val="single"/>
          <w:lang w:val="en"/>
        </w:rPr>
        <w:t>3.3 Scenario 3 – Disruption in the distribution of examination papers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1"/>
        <w:gridCol w:w="6565"/>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Transport or delivery</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Awarding organisation staff, teachers, candidates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there is a disruption to the distribution of examination papers to centres in advance of examinations.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courier delivers a wrong set of examination papers to a centre.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awarding organisations:</w:t>
            </w:r>
            <w:r>
              <w:rPr>
                <w:rFonts w:ascii="Verdana" w:hAnsi="Verdana"/>
                <w:sz w:val="24"/>
                <w:szCs w:val="24"/>
              </w:rPr>
              <w:br/>
              <w:t>- source alternative couriers for delivery of hard copies.</w:t>
            </w:r>
            <w:r>
              <w:rPr>
                <w:rFonts w:ascii="Verdana" w:hAnsi="Verdana"/>
                <w:sz w:val="24"/>
                <w:szCs w:val="24"/>
              </w:rPr>
              <w:br/>
              <w:t>- provide centres with electronic access to examination papers via a secure external network.</w:t>
            </w:r>
            <w:r>
              <w:rPr>
                <w:rFonts w:ascii="Verdana" w:hAnsi="Verdana"/>
                <w:sz w:val="24"/>
                <w:szCs w:val="24"/>
              </w:rPr>
              <w:br/>
              <w:t>- fax examination papers to centres if electronic transfer is not possible.</w:t>
            </w:r>
            <w:r>
              <w:rPr>
                <w:rFonts w:ascii="Verdana" w:hAnsi="Verdana"/>
                <w:sz w:val="24"/>
                <w:szCs w:val="24"/>
              </w:rPr>
              <w:br/>
              <w:t>Please note that the examinations officer would need to ensure that copies are received, made and stored under secure conditions.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The centre will communicate with specific awarding organisations to organise alternative delivery of papers.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Students are able to proceed with taking examinations without having to reschedule examinations.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xml:space="preserve">Further advice and </w:t>
            </w:r>
            <w:r>
              <w:rPr>
                <w:rFonts w:ascii="Verdana" w:hAnsi="Verdana"/>
                <w:sz w:val="24"/>
                <w:szCs w:val="24"/>
              </w:rPr>
              <w:lastRenderedPageBreak/>
              <w:t>information</w:t>
            </w:r>
          </w:p>
        </w:tc>
        <w:tc>
          <w:tcPr>
            <w:tcW w:w="0" w:type="auto"/>
            <w:vAlign w:val="center"/>
            <w:hideMark/>
          </w:tcPr>
          <w:p>
            <w:pPr>
              <w:rPr>
                <w:rFonts w:ascii="Verdana" w:hAnsi="Verdana"/>
                <w:sz w:val="24"/>
                <w:szCs w:val="24"/>
              </w:rPr>
            </w:pPr>
            <w:r>
              <w:rPr>
                <w:rFonts w:ascii="Verdana" w:hAnsi="Verdana"/>
                <w:sz w:val="24"/>
                <w:szCs w:val="24"/>
              </w:rPr>
              <w:lastRenderedPageBreak/>
              <w:t>not applicable</w:t>
            </w:r>
          </w:p>
        </w:tc>
      </w:tr>
    </w:tbl>
    <w:p>
      <w:pPr>
        <w:rPr>
          <w:rFonts w:ascii="Verdana" w:hAnsi="Verdana"/>
          <w:b/>
          <w:bCs/>
          <w:sz w:val="24"/>
          <w:szCs w:val="24"/>
          <w:u w:val="single"/>
          <w:lang w:val="en"/>
        </w:rPr>
      </w:pPr>
      <w:r>
        <w:rPr>
          <w:rFonts w:ascii="Verdana" w:hAnsi="Verdana"/>
          <w:b/>
          <w:bCs/>
          <w:sz w:val="24"/>
          <w:szCs w:val="24"/>
          <w:u w:val="single"/>
          <w:lang w:val="en"/>
        </w:rPr>
        <w:lastRenderedPageBreak/>
        <w:t>3.4 Scenario 4 – Disruption to the transportation of completed examination scripts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6686"/>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Transport or delivery</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Courier staff, centre staff, awarding organisation staff.</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there is a delay in normal collection arrangements for completed examination scripts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courier contacts a centre to report a problem about picking up scripts on time.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centres:</w:t>
            </w:r>
            <w:r>
              <w:rPr>
                <w:rFonts w:ascii="Verdana" w:hAnsi="Verdana"/>
                <w:sz w:val="24"/>
                <w:szCs w:val="24"/>
              </w:rPr>
              <w:br/>
              <w:t>- in the first instance, seek advice from the specific awarding organisations and their normal collection agency regarding collection.</w:t>
            </w:r>
          </w:p>
          <w:p>
            <w:pPr>
              <w:rPr>
                <w:rFonts w:ascii="Verdana" w:hAnsi="Verdana"/>
                <w:sz w:val="24"/>
                <w:szCs w:val="24"/>
              </w:rPr>
            </w:pPr>
            <w:r>
              <w:rPr>
                <w:rFonts w:ascii="Verdana" w:hAnsi="Verdana"/>
                <w:sz w:val="24"/>
                <w:szCs w:val="24"/>
              </w:rPr>
              <w:t>- ensure secure storage of completed examination scripts in the school safe until collection of papers.</w:t>
            </w:r>
            <w:r>
              <w:rPr>
                <w:rFonts w:ascii="Verdana" w:hAnsi="Verdana"/>
                <w:sz w:val="24"/>
                <w:szCs w:val="24"/>
              </w:rPr>
              <w:br/>
              <w:t xml:space="preserve">- do not make their own arrangements for transportation without approval from awarding organisations.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The centre to communicate with relevant awarding organisations at the outset to resolve the issue.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Scripts are stored ‘securely’ in line with JCQ guidance in the school safe. Scripts are collected and delivered to awarding organisations with the minimum of delay.</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 xml:space="preserve">JCQ guidance regarding the ‘secure storage of scripts’ is available on the JCQ website under </w:t>
            </w:r>
            <w:r>
              <w:rPr>
                <w:rStyle w:val="Hyperlink"/>
                <w:rFonts w:ascii="Verdana" w:hAnsi="Verdana"/>
                <w:sz w:val="24"/>
                <w:szCs w:val="24"/>
              </w:rPr>
              <w:t>Instructions for Conducting Examinations 2018-2019</w:t>
            </w:r>
            <w:r>
              <w:rPr>
                <w:rFonts w:ascii="Verdana" w:hAnsi="Verdana"/>
                <w:sz w:val="24"/>
                <w:szCs w:val="24"/>
              </w:rPr>
              <w:br/>
            </w:r>
            <w:hyperlink r:id="rId11" w:history="1">
              <w:r>
                <w:rPr>
                  <w:rStyle w:val="Hyperlink"/>
                  <w:rFonts w:ascii="Verdana" w:hAnsi="Verdana"/>
                  <w:sz w:val="24"/>
                  <w:szCs w:val="24"/>
                </w:rPr>
                <w:t>Guidance on the ‘Life of a script’</w:t>
              </w:r>
            </w:hyperlink>
            <w:r>
              <w:rPr>
                <w:rFonts w:ascii="Verdana" w:hAnsi="Verdana"/>
                <w:sz w:val="24"/>
                <w:szCs w:val="24"/>
              </w:rPr>
              <w:t xml:space="preserve"> is also available on the JCQ website</w:t>
            </w:r>
          </w:p>
        </w:tc>
      </w:tr>
    </w:tbl>
    <w:p>
      <w:pPr>
        <w:rPr>
          <w:rFonts w:ascii="Verdana" w:hAnsi="Verdana"/>
          <w:b/>
          <w:bCs/>
          <w:sz w:val="24"/>
          <w:szCs w:val="24"/>
          <w:u w:val="single"/>
          <w:lang w:val="en"/>
        </w:rPr>
      </w:pPr>
      <w:r>
        <w:rPr>
          <w:rFonts w:ascii="Verdana" w:hAnsi="Verdana"/>
          <w:b/>
          <w:bCs/>
          <w:sz w:val="24"/>
          <w:szCs w:val="24"/>
          <w:u w:val="single"/>
          <w:lang w:val="en"/>
        </w:rPr>
        <w:t>3.5 Scenario 5 – Centres are unable to open as normal during the examination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1"/>
        <w:gridCol w:w="6865"/>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Disruption to centre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Impact on</w:t>
            </w:r>
          </w:p>
        </w:tc>
        <w:tc>
          <w:tcPr>
            <w:tcW w:w="0" w:type="auto"/>
            <w:vAlign w:val="center"/>
            <w:hideMark/>
          </w:tcPr>
          <w:p>
            <w:pPr>
              <w:rPr>
                <w:rFonts w:ascii="Verdana" w:hAnsi="Verdana"/>
                <w:sz w:val="24"/>
                <w:szCs w:val="24"/>
              </w:rPr>
            </w:pPr>
            <w:r>
              <w:rPr>
                <w:rFonts w:ascii="Verdana" w:hAnsi="Verdana"/>
                <w:sz w:val="24"/>
                <w:szCs w:val="24"/>
              </w:rPr>
              <w:t>Candidates, teachers, centre staff, parents, carers and awarding organisation staff</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centres are unable to open as normal for scheduled examinations.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fire at the centre means that it is closed when examinations are due to take place.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centres:</w:t>
            </w:r>
            <w:r>
              <w:rPr>
                <w:rFonts w:ascii="Verdana" w:hAnsi="Verdana"/>
                <w:sz w:val="24"/>
                <w:szCs w:val="24"/>
              </w:rPr>
              <w:br/>
              <w:t>- open for examinations and examination candidates only, if possible.</w:t>
            </w:r>
            <w:r>
              <w:rPr>
                <w:rFonts w:ascii="Verdana" w:hAnsi="Verdana"/>
                <w:sz w:val="24"/>
                <w:szCs w:val="24"/>
              </w:rPr>
              <w:br/>
              <w:t>- use alternative venues in agreement with relevant awarding organisations e.g.  examinations may be relocated to the Pastoral Centre and pupils continue with the exams as normal.</w:t>
            </w:r>
            <w:r>
              <w:rPr>
                <w:rFonts w:ascii="Verdana" w:hAnsi="Verdana"/>
                <w:sz w:val="24"/>
                <w:szCs w:val="24"/>
              </w:rPr>
              <w:br/>
              <w:t>- apply to awarding organisations for special consideration for candidates where they have met the minimum requirements (see Scenario 3)</w:t>
            </w:r>
            <w:r>
              <w:rPr>
                <w:rFonts w:ascii="Verdana" w:hAnsi="Verdana"/>
                <w:sz w:val="24"/>
                <w:szCs w:val="24"/>
              </w:rPr>
              <w:br/>
              <w:t>- offer candidates an opportunity to sit any examinations missed at the next available series, if possible.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A centre which is unable to open as normal for examinations must inform each awarding organisation with which examinations are due to be taken as soon as is possible.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Students are able to take examinations in alternative venues.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Centres should cover the impact on examinations as part of their general planning for emergencies.</w:t>
            </w:r>
            <w:r>
              <w:rPr>
                <w:rFonts w:ascii="Verdana" w:hAnsi="Verdana"/>
                <w:sz w:val="24"/>
                <w:szCs w:val="24"/>
              </w:rPr>
              <w:br/>
              <w:t>The responsibility for deciding whether it is safe for a centre to open lies with the head of centre. The head is responsible for taking advice, or following instructions, from relevant local or national agencies in deciding whether they are able to open.</w:t>
            </w:r>
            <w:r>
              <w:rPr>
                <w:rFonts w:ascii="Verdana" w:hAnsi="Verdana"/>
                <w:sz w:val="24"/>
                <w:szCs w:val="24"/>
              </w:rPr>
              <w:br/>
            </w:r>
            <w:hyperlink r:id="rId12" w:history="1">
              <w:r>
                <w:rPr>
                  <w:rStyle w:val="Hyperlink"/>
                  <w:rFonts w:ascii="Verdana" w:hAnsi="Verdana"/>
                  <w:sz w:val="24"/>
                  <w:szCs w:val="24"/>
                </w:rPr>
                <w:t>DfE guidance on school closures</w:t>
              </w:r>
            </w:hyperlink>
            <w:r>
              <w:rPr>
                <w:rFonts w:ascii="Verdana" w:hAnsi="Verdana"/>
                <w:sz w:val="24"/>
                <w:szCs w:val="24"/>
              </w:rPr>
              <w:t xml:space="preserve"> is available on the GOV.UK website</w:t>
            </w:r>
          </w:p>
        </w:tc>
      </w:tr>
    </w:tbl>
    <w:p>
      <w:pPr>
        <w:rPr>
          <w:rFonts w:ascii="Verdana" w:hAnsi="Verdana"/>
          <w:b/>
          <w:bCs/>
          <w:sz w:val="24"/>
          <w:szCs w:val="24"/>
          <w:u w:val="single"/>
          <w:lang w:val="en"/>
        </w:rPr>
      </w:pPr>
      <w:r>
        <w:rPr>
          <w:rFonts w:ascii="Verdana" w:hAnsi="Verdana"/>
          <w:b/>
          <w:bCs/>
          <w:sz w:val="24"/>
          <w:szCs w:val="24"/>
          <w:u w:val="single"/>
          <w:lang w:val="en"/>
        </w:rPr>
        <w:lastRenderedPageBreak/>
        <w:t>3.6 Scenario 6 – Assessment evidence is not available to be marked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6826"/>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Marking</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Candidates, teachers, school and college staff, parents, carers and awarding organisation staff.</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of large scale damage to, or destruction of, completed examination scripts or assessment evidence before it can be marked.</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fire at the centre destroys completed examination scripts.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w:t>
            </w:r>
            <w:r>
              <w:rPr>
                <w:rFonts w:ascii="Verdana" w:hAnsi="Verdana"/>
                <w:sz w:val="24"/>
                <w:szCs w:val="24"/>
              </w:rPr>
              <w:br/>
              <w:t>- awarding organisations generate candidate marks for affected assessments based on other appropriate evidence of candidate achievement, as defined by the awarding organisations in consultation with the regulators.</w:t>
            </w:r>
            <w:r>
              <w:rPr>
                <w:rFonts w:ascii="Verdana" w:hAnsi="Verdana"/>
                <w:sz w:val="24"/>
                <w:szCs w:val="24"/>
              </w:rPr>
              <w:br/>
              <w:t>- Candidates retake the assessment that has been affected at a subsequent assessment window, if possible.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It is the responsibility of the head of centre to communicate this immediately to the relevant awarding organisation(s) and subsequently to students and their parents or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Candidate marks are able to be generated (if possible) from existing assessment materials and predicted grades/mock examinations.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To be sought from the relevant awarding organisation.</w:t>
            </w:r>
          </w:p>
        </w:tc>
      </w:tr>
    </w:tbl>
    <w:p>
      <w:pPr>
        <w:rPr>
          <w:rFonts w:ascii="Verdana" w:hAnsi="Verdana"/>
          <w:b/>
          <w:bCs/>
          <w:sz w:val="24"/>
          <w:szCs w:val="24"/>
          <w:u w:val="single"/>
          <w:lang w:val="en"/>
        </w:rPr>
      </w:pPr>
      <w:r>
        <w:rPr>
          <w:rFonts w:ascii="Verdana" w:hAnsi="Verdana"/>
          <w:b/>
          <w:bCs/>
          <w:sz w:val="24"/>
          <w:szCs w:val="24"/>
          <w:u w:val="single"/>
          <w:lang w:val="en"/>
        </w:rPr>
        <w:t>3.7 Scenario 7 – Disruption to the scanning process – where completed examination scripts are being scanned in preparation for on-screen marking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6364"/>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Marking</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Impact on</w:t>
            </w:r>
          </w:p>
        </w:tc>
        <w:tc>
          <w:tcPr>
            <w:tcW w:w="0" w:type="auto"/>
            <w:vAlign w:val="center"/>
            <w:hideMark/>
          </w:tcPr>
          <w:p>
            <w:pPr>
              <w:rPr>
                <w:rFonts w:ascii="Verdana" w:hAnsi="Verdana"/>
                <w:sz w:val="24"/>
                <w:szCs w:val="24"/>
              </w:rPr>
            </w:pPr>
            <w:r>
              <w:rPr>
                <w:rFonts w:ascii="Verdana" w:hAnsi="Verdana"/>
                <w:sz w:val="24"/>
                <w:szCs w:val="24"/>
              </w:rPr>
              <w:t>Scanning centre staff, awarding organisation staff.</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there is disruption to the scanning process.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scanning centre reports technical problems with scanning machines leading to delays.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awarding organisations:</w:t>
            </w:r>
            <w:r>
              <w:rPr>
                <w:rFonts w:ascii="Verdana" w:hAnsi="Verdana"/>
                <w:sz w:val="24"/>
                <w:szCs w:val="24"/>
              </w:rPr>
              <w:br/>
              <w:t>- awarding implement their existing contingency plans for disruption to on-screen marking process.</w:t>
            </w:r>
            <w:r>
              <w:rPr>
                <w:rFonts w:ascii="Verdana" w:hAnsi="Verdana"/>
                <w:sz w:val="24"/>
                <w:szCs w:val="24"/>
              </w:rPr>
              <w:br/>
              <w:t>- revert to traditional forms of marking, recruit, train or re-standardise qualified new markers.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None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Deadlines for marking schedules are met.</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To be sought from the relevant awarding organisation.</w:t>
            </w:r>
          </w:p>
        </w:tc>
      </w:tr>
    </w:tbl>
    <w:p>
      <w:pPr>
        <w:rPr>
          <w:rFonts w:ascii="Verdana" w:hAnsi="Verdana"/>
          <w:b/>
          <w:bCs/>
          <w:sz w:val="24"/>
          <w:szCs w:val="24"/>
          <w:u w:val="single"/>
          <w:lang w:val="en"/>
        </w:rPr>
      </w:pPr>
      <w:r>
        <w:rPr>
          <w:rFonts w:ascii="Verdana" w:hAnsi="Verdana"/>
          <w:b/>
          <w:bCs/>
          <w:sz w:val="24"/>
          <w:szCs w:val="24"/>
          <w:u w:val="single"/>
          <w:lang w:val="en"/>
        </w:rPr>
        <w:t>3.8 Scenario 8 – Markers unable to mark examination scripts according to marking schedules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7"/>
        <w:gridCol w:w="6659"/>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Marking</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Awarding organisation staff</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a significant number of markers are unable to mark examination scripts, resulting in a risk to the delivery of results by scheduled dates.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Significant numbers of markers withdraw from a specific qualification at short notice.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awarding organisations:</w:t>
            </w:r>
            <w:r>
              <w:rPr>
                <w:rFonts w:ascii="Verdana" w:hAnsi="Verdana"/>
                <w:sz w:val="24"/>
                <w:szCs w:val="24"/>
              </w:rPr>
              <w:br/>
              <w:t>- reallocate scripts to available markers.</w:t>
            </w:r>
            <w:r>
              <w:rPr>
                <w:rFonts w:ascii="Verdana" w:hAnsi="Verdana"/>
                <w:sz w:val="24"/>
                <w:szCs w:val="24"/>
              </w:rPr>
              <w:br/>
              <w:t>- recruit, train or re-standardise qualified new markers.</w:t>
            </w:r>
            <w:r>
              <w:rPr>
                <w:rFonts w:ascii="Verdana" w:hAnsi="Verdana"/>
                <w:sz w:val="24"/>
                <w:szCs w:val="24"/>
              </w:rPr>
              <w:br/>
              <w:t>- contact each other to ‘share’ markers for specific qualifications.</w:t>
            </w:r>
            <w:r>
              <w:rPr>
                <w:rFonts w:ascii="Verdana" w:hAnsi="Verdana"/>
                <w:sz w:val="24"/>
                <w:szCs w:val="24"/>
              </w:rPr>
              <w:br/>
              <w:t xml:space="preserve">- prioritise marking based on results dates, UCAS deadlines, qualifications that require further study </w:t>
            </w:r>
            <w:r>
              <w:rPr>
                <w:rFonts w:ascii="Verdana" w:hAnsi="Verdana"/>
                <w:sz w:val="24"/>
                <w:szCs w:val="24"/>
              </w:rPr>
              <w:lastRenderedPageBreak/>
              <w:t>(e.g. Maths and English).</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Specific communication</w:t>
            </w:r>
          </w:p>
        </w:tc>
        <w:tc>
          <w:tcPr>
            <w:tcW w:w="0" w:type="auto"/>
            <w:vAlign w:val="center"/>
            <w:hideMark/>
          </w:tcPr>
          <w:p>
            <w:pPr>
              <w:rPr>
                <w:rFonts w:ascii="Verdana" w:hAnsi="Verdana"/>
                <w:sz w:val="24"/>
                <w:szCs w:val="24"/>
              </w:rPr>
            </w:pPr>
            <w:r>
              <w:rPr>
                <w:rFonts w:ascii="Verdana" w:hAnsi="Verdana"/>
                <w:sz w:val="24"/>
                <w:szCs w:val="24"/>
              </w:rPr>
              <w:t>None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Deadlines for marking schedules are met.</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Not applicable</w:t>
            </w:r>
          </w:p>
        </w:tc>
      </w:tr>
    </w:tbl>
    <w:p>
      <w:pPr>
        <w:rPr>
          <w:rFonts w:ascii="Verdana" w:hAnsi="Verdana"/>
          <w:b/>
          <w:bCs/>
          <w:sz w:val="24"/>
          <w:szCs w:val="24"/>
          <w:u w:val="single"/>
          <w:lang w:val="en"/>
        </w:rPr>
      </w:pPr>
      <w:r>
        <w:rPr>
          <w:rFonts w:ascii="Verdana" w:hAnsi="Verdana"/>
          <w:b/>
          <w:bCs/>
          <w:sz w:val="24"/>
          <w:szCs w:val="24"/>
          <w:u w:val="single"/>
          <w:lang w:val="en"/>
        </w:rPr>
        <w:t>3.9 Scenario 9 – Difficulty in meeting planned schedule or unable to issue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8"/>
        <w:gridCol w:w="6798"/>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Issuing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Awarding organisation staff,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an awarding organisation (including the case of a single awarding organisation) is unable to meet a planned schedule for issuing results, due to a catastrophic process or systems failure.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process failure delays both the preparation and issuing of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If awarding organisations face delays in meeting the planned schedule for issuing results, it is recommended that they:</w:t>
            </w:r>
            <w:r>
              <w:rPr>
                <w:rFonts w:ascii="Verdana" w:hAnsi="Verdana"/>
                <w:sz w:val="24"/>
                <w:szCs w:val="24"/>
              </w:rPr>
              <w:br/>
              <w:t>- implement existing contingency plans for disruption to the schedule for issuing results.</w:t>
            </w:r>
            <w:r>
              <w:rPr>
                <w:rFonts w:ascii="Verdana" w:hAnsi="Verdana"/>
                <w:sz w:val="24"/>
                <w:szCs w:val="24"/>
              </w:rPr>
              <w:br/>
              <w:t>- in consultation with regulators, assess the level of disruption and consider alternative options for issuing results, dependent upon the nature of the issue</w:t>
            </w:r>
            <w:r>
              <w:rPr>
                <w:rFonts w:ascii="Verdana" w:hAnsi="Verdana"/>
                <w:sz w:val="24"/>
                <w:szCs w:val="24"/>
              </w:rPr>
              <w:br/>
              <w:t>- in consultation with regulators, liaise with relevant organisations  regarding candidate progression to further and higher education.</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Awarding organisation(s) to brief schools and colleges about potential delays to issuing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Deadlines for issuing results to candidates are met.</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Further advice and information</w:t>
            </w:r>
          </w:p>
        </w:tc>
        <w:tc>
          <w:tcPr>
            <w:tcW w:w="0" w:type="auto"/>
            <w:vAlign w:val="center"/>
            <w:hideMark/>
          </w:tcPr>
          <w:p>
            <w:pPr>
              <w:rPr>
                <w:rFonts w:ascii="Verdana" w:hAnsi="Verdana"/>
                <w:sz w:val="24"/>
                <w:szCs w:val="24"/>
              </w:rPr>
            </w:pPr>
          </w:p>
          <w:p>
            <w:pPr>
              <w:rPr>
                <w:rFonts w:ascii="Verdana" w:hAnsi="Verdana"/>
                <w:sz w:val="24"/>
                <w:szCs w:val="24"/>
              </w:rPr>
            </w:pPr>
            <w:r>
              <w:rPr>
                <w:rFonts w:ascii="Verdana" w:hAnsi="Verdana"/>
                <w:sz w:val="24"/>
                <w:szCs w:val="24"/>
              </w:rPr>
              <w:t>Not applicable</w:t>
            </w:r>
          </w:p>
          <w:p>
            <w:pPr>
              <w:rPr>
                <w:rFonts w:ascii="Verdana" w:hAnsi="Verdana"/>
                <w:sz w:val="24"/>
                <w:szCs w:val="24"/>
              </w:rPr>
            </w:pPr>
          </w:p>
          <w:p>
            <w:pPr>
              <w:rPr>
                <w:rFonts w:ascii="Verdana" w:hAnsi="Verdana"/>
                <w:sz w:val="24"/>
                <w:szCs w:val="24"/>
              </w:rPr>
            </w:pPr>
          </w:p>
          <w:p>
            <w:pPr>
              <w:rPr>
                <w:rFonts w:ascii="Verdana" w:hAnsi="Verdana"/>
                <w:sz w:val="24"/>
                <w:szCs w:val="24"/>
              </w:rPr>
            </w:pPr>
          </w:p>
        </w:tc>
      </w:tr>
    </w:tbl>
    <w:p>
      <w:pPr>
        <w:rPr>
          <w:rFonts w:ascii="Verdana" w:hAnsi="Verdana"/>
          <w:b/>
          <w:bCs/>
          <w:sz w:val="24"/>
          <w:szCs w:val="24"/>
          <w:u w:val="single"/>
          <w:lang w:val="en"/>
        </w:rPr>
      </w:pPr>
      <w:r>
        <w:rPr>
          <w:rFonts w:ascii="Verdana" w:hAnsi="Verdana"/>
          <w:b/>
          <w:bCs/>
          <w:sz w:val="24"/>
          <w:szCs w:val="24"/>
          <w:u w:val="single"/>
          <w:lang w:val="en"/>
        </w:rPr>
        <w:t>3.10 Scenario 10 – Awarding organisations unable to issue accurate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7122"/>
      </w:tblGrid>
      <w:tr>
        <w:trPr>
          <w:tblCellSpacing w:w="15" w:type="dxa"/>
        </w:trPr>
        <w:tc>
          <w:tcPr>
            <w:tcW w:w="1949" w:type="dxa"/>
            <w:vAlign w:val="center"/>
            <w:hideMark/>
          </w:tcPr>
          <w:p>
            <w:pPr>
              <w:rPr>
                <w:rFonts w:ascii="Verdana" w:hAnsi="Verdana"/>
                <w:sz w:val="24"/>
                <w:szCs w:val="24"/>
              </w:rPr>
            </w:pPr>
            <w:r>
              <w:rPr>
                <w:rFonts w:ascii="Verdana" w:hAnsi="Verdana"/>
                <w:sz w:val="24"/>
                <w:szCs w:val="24"/>
              </w:rPr>
              <w:t>Type of scenario</w:t>
            </w:r>
          </w:p>
        </w:tc>
        <w:tc>
          <w:tcPr>
            <w:tcW w:w="7077" w:type="dxa"/>
            <w:vAlign w:val="center"/>
            <w:hideMark/>
          </w:tcPr>
          <w:p>
            <w:pPr>
              <w:rPr>
                <w:rFonts w:ascii="Verdana" w:hAnsi="Verdana"/>
                <w:sz w:val="24"/>
                <w:szCs w:val="24"/>
              </w:rPr>
            </w:pPr>
            <w:r>
              <w:rPr>
                <w:rFonts w:ascii="Verdana" w:hAnsi="Verdana"/>
                <w:sz w:val="24"/>
                <w:szCs w:val="24"/>
              </w:rPr>
              <w:t>Issuing results</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Impact on</w:t>
            </w:r>
          </w:p>
        </w:tc>
        <w:tc>
          <w:tcPr>
            <w:tcW w:w="7077" w:type="dxa"/>
            <w:vAlign w:val="center"/>
            <w:hideMark/>
          </w:tcPr>
          <w:p>
            <w:pPr>
              <w:rPr>
                <w:rFonts w:ascii="Verdana" w:hAnsi="Verdana"/>
                <w:sz w:val="24"/>
                <w:szCs w:val="24"/>
              </w:rPr>
            </w:pPr>
            <w:r>
              <w:rPr>
                <w:rFonts w:ascii="Verdana" w:hAnsi="Verdana"/>
                <w:sz w:val="24"/>
                <w:szCs w:val="24"/>
              </w:rPr>
              <w:t>Awarding organisation staff, school and college staff, candidates, parents and carers.</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When to implement the plan</w:t>
            </w:r>
          </w:p>
        </w:tc>
        <w:tc>
          <w:tcPr>
            <w:tcW w:w="7077" w:type="dxa"/>
            <w:vAlign w:val="center"/>
            <w:hideMark/>
          </w:tcPr>
          <w:p>
            <w:pPr>
              <w:rPr>
                <w:rFonts w:ascii="Verdana" w:hAnsi="Verdana"/>
                <w:sz w:val="24"/>
                <w:szCs w:val="24"/>
              </w:rPr>
            </w:pPr>
            <w:r>
              <w:rPr>
                <w:rFonts w:ascii="Verdana" w:hAnsi="Verdana"/>
                <w:sz w:val="24"/>
                <w:szCs w:val="24"/>
              </w:rPr>
              <w:t>In the event that a catastrophic system error, failure or attack on systems means a significant number of results cannot be validated as accurate, or are issued and found to be inaccurate.</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Example of scenario</w:t>
            </w:r>
          </w:p>
        </w:tc>
        <w:tc>
          <w:tcPr>
            <w:tcW w:w="7077" w:type="dxa"/>
            <w:vAlign w:val="center"/>
            <w:hideMark/>
          </w:tcPr>
          <w:p>
            <w:pPr>
              <w:rPr>
                <w:rFonts w:ascii="Verdana" w:hAnsi="Verdana"/>
                <w:sz w:val="24"/>
                <w:szCs w:val="24"/>
              </w:rPr>
            </w:pPr>
            <w:r>
              <w:rPr>
                <w:rFonts w:ascii="Verdana" w:hAnsi="Verdana"/>
                <w:sz w:val="24"/>
                <w:szCs w:val="24"/>
              </w:rPr>
              <w:t>An IT system failure impacts upon the accuracy of results.</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Recommended actions</w:t>
            </w:r>
          </w:p>
        </w:tc>
        <w:tc>
          <w:tcPr>
            <w:tcW w:w="7077" w:type="dxa"/>
            <w:vAlign w:val="center"/>
            <w:hideMark/>
          </w:tcPr>
          <w:p>
            <w:pPr>
              <w:rPr>
                <w:rFonts w:ascii="Verdana" w:hAnsi="Verdana"/>
                <w:sz w:val="24"/>
                <w:szCs w:val="24"/>
              </w:rPr>
            </w:pPr>
            <w:r>
              <w:rPr>
                <w:rFonts w:ascii="Verdana" w:hAnsi="Verdana"/>
                <w:sz w:val="24"/>
                <w:szCs w:val="24"/>
              </w:rPr>
              <w:t>It is recommended that awarding organisations:</w:t>
            </w:r>
            <w:r>
              <w:rPr>
                <w:rFonts w:ascii="Verdana" w:hAnsi="Verdana"/>
                <w:sz w:val="24"/>
                <w:szCs w:val="24"/>
              </w:rPr>
              <w:br/>
              <w:t>- revalidate results</w:t>
            </w:r>
            <w:r>
              <w:rPr>
                <w:rFonts w:ascii="Verdana" w:hAnsi="Verdana"/>
                <w:sz w:val="24"/>
                <w:szCs w:val="24"/>
              </w:rPr>
              <w:br/>
              <w:t>- reissue results, via an alternative format if necessary</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Specific communication</w:t>
            </w:r>
          </w:p>
        </w:tc>
        <w:tc>
          <w:tcPr>
            <w:tcW w:w="7077" w:type="dxa"/>
            <w:vAlign w:val="center"/>
            <w:hideMark/>
          </w:tcPr>
          <w:p>
            <w:pPr>
              <w:rPr>
                <w:rFonts w:ascii="Verdana" w:hAnsi="Verdana"/>
                <w:sz w:val="24"/>
                <w:szCs w:val="24"/>
              </w:rPr>
            </w:pPr>
            <w:r>
              <w:rPr>
                <w:rFonts w:ascii="Verdana" w:hAnsi="Verdana"/>
                <w:sz w:val="24"/>
                <w:szCs w:val="24"/>
              </w:rPr>
              <w:t>Awarding organisations to inform schools, colleges and candidates of any incorrect results.</w:t>
            </w:r>
            <w:r>
              <w:rPr>
                <w:rFonts w:ascii="Verdana" w:hAnsi="Verdana"/>
                <w:sz w:val="24"/>
                <w:szCs w:val="24"/>
              </w:rPr>
              <w:br/>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Success criteria</w:t>
            </w:r>
          </w:p>
        </w:tc>
        <w:tc>
          <w:tcPr>
            <w:tcW w:w="7077" w:type="dxa"/>
            <w:vAlign w:val="center"/>
            <w:hideMark/>
          </w:tcPr>
          <w:p>
            <w:pPr>
              <w:rPr>
                <w:rFonts w:ascii="Verdana" w:hAnsi="Verdana"/>
                <w:sz w:val="24"/>
                <w:szCs w:val="24"/>
              </w:rPr>
            </w:pPr>
            <w:r>
              <w:rPr>
                <w:rFonts w:ascii="Verdana" w:hAnsi="Verdana"/>
                <w:sz w:val="24"/>
                <w:szCs w:val="24"/>
              </w:rPr>
              <w:t>Results are revalidated or reissued in a timely way for candidates.</w:t>
            </w:r>
          </w:p>
        </w:tc>
      </w:tr>
      <w:tr>
        <w:trPr>
          <w:tblCellSpacing w:w="15" w:type="dxa"/>
        </w:trPr>
        <w:tc>
          <w:tcPr>
            <w:tcW w:w="1949" w:type="dxa"/>
            <w:vAlign w:val="center"/>
            <w:hideMark/>
          </w:tcPr>
          <w:p>
            <w:pPr>
              <w:rPr>
                <w:rFonts w:ascii="Verdana" w:hAnsi="Verdana"/>
                <w:sz w:val="24"/>
                <w:szCs w:val="24"/>
              </w:rPr>
            </w:pPr>
            <w:r>
              <w:rPr>
                <w:rFonts w:ascii="Verdana" w:hAnsi="Verdana"/>
                <w:sz w:val="24"/>
                <w:szCs w:val="24"/>
              </w:rPr>
              <w:t>Further advice and information</w:t>
            </w:r>
          </w:p>
        </w:tc>
        <w:tc>
          <w:tcPr>
            <w:tcW w:w="7077" w:type="dxa"/>
            <w:vAlign w:val="center"/>
            <w:hideMark/>
          </w:tcPr>
          <w:p>
            <w:pPr>
              <w:rPr>
                <w:rFonts w:ascii="Verdana" w:hAnsi="Verdana"/>
                <w:sz w:val="24"/>
                <w:szCs w:val="24"/>
              </w:rPr>
            </w:pPr>
            <w:r>
              <w:rPr>
                <w:rFonts w:ascii="Verdana" w:hAnsi="Verdana"/>
                <w:sz w:val="24"/>
                <w:szCs w:val="24"/>
              </w:rPr>
              <w:t>Not applicable</w:t>
            </w:r>
          </w:p>
        </w:tc>
      </w:tr>
    </w:tbl>
    <w:p>
      <w:pPr>
        <w:rPr>
          <w:rFonts w:ascii="Verdana" w:hAnsi="Verdana"/>
          <w:b/>
          <w:bCs/>
          <w:sz w:val="24"/>
          <w:szCs w:val="24"/>
          <w:u w:val="single"/>
          <w:lang w:val="en"/>
        </w:rPr>
      </w:pPr>
      <w:r>
        <w:rPr>
          <w:rFonts w:ascii="Verdana" w:hAnsi="Verdana"/>
          <w:b/>
          <w:bCs/>
          <w:sz w:val="24"/>
          <w:szCs w:val="24"/>
          <w:u w:val="single"/>
          <w:lang w:val="en"/>
        </w:rPr>
        <w:t>3.11 Scenario 11 – Centres are unable to distribute results as normal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6440"/>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Issuing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Impact on</w:t>
            </w:r>
          </w:p>
        </w:tc>
        <w:tc>
          <w:tcPr>
            <w:tcW w:w="0" w:type="auto"/>
            <w:vAlign w:val="center"/>
            <w:hideMark/>
          </w:tcPr>
          <w:p>
            <w:pPr>
              <w:rPr>
                <w:rFonts w:ascii="Verdana" w:hAnsi="Verdana"/>
                <w:sz w:val="24"/>
                <w:szCs w:val="24"/>
              </w:rPr>
            </w:pPr>
            <w:r>
              <w:rPr>
                <w:rFonts w:ascii="Verdana" w:hAnsi="Verdana"/>
                <w:sz w:val="24"/>
                <w:szCs w:val="24"/>
              </w:rPr>
              <w:t>Awarding organisation staff, school and college staff,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schools or colleges are unable to access or manage the distribution of results to candidates.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school or college is closed and therefore candidates are not able to visit to find out their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schools and colleges:</w:t>
            </w:r>
            <w:r>
              <w:rPr>
                <w:rFonts w:ascii="Verdana" w:hAnsi="Verdana"/>
                <w:sz w:val="24"/>
                <w:szCs w:val="24"/>
              </w:rPr>
              <w:br/>
              <w:t>- make arrangements to access results at an alternative site eg the Pastoral Centre.</w:t>
            </w:r>
            <w:r>
              <w:rPr>
                <w:rFonts w:ascii="Verdana" w:hAnsi="Verdana"/>
                <w:sz w:val="24"/>
                <w:szCs w:val="24"/>
              </w:rPr>
              <w:br/>
              <w:t>- share facilities with other schools and colleges if possible.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Specific communication</w:t>
            </w:r>
          </w:p>
        </w:tc>
        <w:tc>
          <w:tcPr>
            <w:tcW w:w="0" w:type="auto"/>
            <w:vAlign w:val="center"/>
            <w:hideMark/>
          </w:tcPr>
          <w:p>
            <w:pPr>
              <w:rPr>
                <w:rFonts w:ascii="Verdana" w:hAnsi="Verdana"/>
                <w:sz w:val="24"/>
                <w:szCs w:val="24"/>
              </w:rPr>
            </w:pPr>
            <w:r>
              <w:rPr>
                <w:rFonts w:ascii="Verdana" w:hAnsi="Verdana"/>
                <w:sz w:val="24"/>
                <w:szCs w:val="24"/>
              </w:rPr>
              <w:t>Centres to contact awarding organisations about alternative options.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Candidates receive results.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Not applicable</w:t>
            </w:r>
          </w:p>
        </w:tc>
      </w:tr>
    </w:tbl>
    <w:p>
      <w:pPr>
        <w:rPr>
          <w:rFonts w:ascii="Verdana" w:hAnsi="Verdana"/>
          <w:b/>
          <w:bCs/>
          <w:sz w:val="24"/>
          <w:szCs w:val="24"/>
          <w:u w:val="single"/>
          <w:lang w:val="en"/>
        </w:rPr>
      </w:pPr>
      <w:r>
        <w:rPr>
          <w:rFonts w:ascii="Verdana" w:hAnsi="Verdana"/>
          <w:b/>
          <w:bCs/>
          <w:sz w:val="24"/>
          <w:szCs w:val="24"/>
          <w:u w:val="single"/>
          <w:lang w:val="en"/>
        </w:rPr>
        <w:t>3.12 Scenario 12 – Awarding organizations are unable to offer post results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4"/>
        <w:gridCol w:w="6752"/>
      </w:tblGrid>
      <w:tr>
        <w:trPr>
          <w:tblCellSpacing w:w="15" w:type="dxa"/>
        </w:trPr>
        <w:tc>
          <w:tcPr>
            <w:tcW w:w="0" w:type="auto"/>
            <w:vAlign w:val="center"/>
            <w:hideMark/>
          </w:tcPr>
          <w:p>
            <w:pPr>
              <w:rPr>
                <w:rFonts w:ascii="Verdana" w:hAnsi="Verdana"/>
                <w:sz w:val="24"/>
                <w:szCs w:val="24"/>
              </w:rPr>
            </w:pPr>
            <w:r>
              <w:rPr>
                <w:rFonts w:ascii="Verdana" w:hAnsi="Verdana"/>
                <w:sz w:val="24"/>
                <w:szCs w:val="24"/>
              </w:rPr>
              <w:t>Type of scenario</w:t>
            </w:r>
          </w:p>
        </w:tc>
        <w:tc>
          <w:tcPr>
            <w:tcW w:w="0" w:type="auto"/>
            <w:vAlign w:val="center"/>
            <w:hideMark/>
          </w:tcPr>
          <w:p>
            <w:pPr>
              <w:rPr>
                <w:rFonts w:ascii="Verdana" w:hAnsi="Verdana"/>
                <w:sz w:val="24"/>
                <w:szCs w:val="24"/>
              </w:rPr>
            </w:pPr>
            <w:r>
              <w:rPr>
                <w:rFonts w:ascii="Verdana" w:hAnsi="Verdana"/>
                <w:sz w:val="24"/>
                <w:szCs w:val="24"/>
              </w:rPr>
              <w:t>Post results services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Impact on</w:t>
            </w:r>
          </w:p>
        </w:tc>
        <w:tc>
          <w:tcPr>
            <w:tcW w:w="0" w:type="auto"/>
            <w:vAlign w:val="center"/>
            <w:hideMark/>
          </w:tcPr>
          <w:p>
            <w:pPr>
              <w:rPr>
                <w:rFonts w:ascii="Verdana" w:hAnsi="Verdana"/>
                <w:sz w:val="24"/>
                <w:szCs w:val="24"/>
              </w:rPr>
            </w:pPr>
            <w:r>
              <w:rPr>
                <w:rFonts w:ascii="Verdana" w:hAnsi="Verdana"/>
                <w:sz w:val="24"/>
                <w:szCs w:val="24"/>
              </w:rPr>
              <w:t>Awarding organisation staff, centre staff,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When to implement the plan</w:t>
            </w:r>
          </w:p>
        </w:tc>
        <w:tc>
          <w:tcPr>
            <w:tcW w:w="0" w:type="auto"/>
            <w:vAlign w:val="center"/>
            <w:hideMark/>
          </w:tcPr>
          <w:p>
            <w:pPr>
              <w:rPr>
                <w:rFonts w:ascii="Verdana" w:hAnsi="Verdana"/>
                <w:sz w:val="24"/>
                <w:szCs w:val="24"/>
              </w:rPr>
            </w:pPr>
            <w:r>
              <w:rPr>
                <w:rFonts w:ascii="Verdana" w:hAnsi="Verdana"/>
                <w:sz w:val="24"/>
                <w:szCs w:val="24"/>
              </w:rPr>
              <w:t>In the event that awarding organisations are not able to provide post results services, with centres and candidates unable to access services such as enquiries about results and appeals.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Example of scenario</w:t>
            </w:r>
          </w:p>
        </w:tc>
        <w:tc>
          <w:tcPr>
            <w:tcW w:w="0" w:type="auto"/>
            <w:vAlign w:val="center"/>
            <w:hideMark/>
          </w:tcPr>
          <w:p>
            <w:pPr>
              <w:rPr>
                <w:rFonts w:ascii="Verdana" w:hAnsi="Verdana"/>
                <w:sz w:val="24"/>
                <w:szCs w:val="24"/>
              </w:rPr>
            </w:pPr>
            <w:r>
              <w:rPr>
                <w:rFonts w:ascii="Verdana" w:hAnsi="Verdana"/>
                <w:sz w:val="24"/>
                <w:szCs w:val="24"/>
              </w:rPr>
              <w:t>A systems failure shuts down an awarding organisation’s online post results service.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Recommended actions</w:t>
            </w:r>
          </w:p>
        </w:tc>
        <w:tc>
          <w:tcPr>
            <w:tcW w:w="0" w:type="auto"/>
            <w:vAlign w:val="center"/>
            <w:hideMark/>
          </w:tcPr>
          <w:p>
            <w:pPr>
              <w:rPr>
                <w:rFonts w:ascii="Verdana" w:hAnsi="Verdana"/>
                <w:sz w:val="24"/>
                <w:szCs w:val="24"/>
              </w:rPr>
            </w:pPr>
            <w:r>
              <w:rPr>
                <w:rFonts w:ascii="Verdana" w:hAnsi="Verdana"/>
                <w:sz w:val="24"/>
                <w:szCs w:val="24"/>
              </w:rPr>
              <w:t>It is recommended that awarding organisations:</w:t>
            </w:r>
            <w:r>
              <w:rPr>
                <w:rFonts w:ascii="Verdana" w:hAnsi="Verdana"/>
                <w:sz w:val="24"/>
                <w:szCs w:val="24"/>
              </w:rPr>
              <w:br/>
              <w:t xml:space="preserve">- make arrangements to provide post results services for centres and candidates through alternative </w:t>
            </w:r>
            <w:r>
              <w:rPr>
                <w:rFonts w:ascii="Verdana" w:hAnsi="Verdana"/>
                <w:sz w:val="24"/>
                <w:szCs w:val="24"/>
              </w:rPr>
              <w:lastRenderedPageBreak/>
              <w:t>methods (eg paper, Excel spread sheets, traditional re-marking).</w:t>
            </w:r>
            <w:r>
              <w:rPr>
                <w:rFonts w:ascii="Verdana" w:hAnsi="Verdana"/>
                <w:sz w:val="24"/>
                <w:szCs w:val="24"/>
              </w:rPr>
              <w:br/>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Specific communication</w:t>
            </w:r>
          </w:p>
        </w:tc>
        <w:tc>
          <w:tcPr>
            <w:tcW w:w="0" w:type="auto"/>
            <w:vAlign w:val="center"/>
            <w:hideMark/>
          </w:tcPr>
          <w:p>
            <w:pPr>
              <w:rPr>
                <w:rFonts w:ascii="Verdana" w:hAnsi="Verdana"/>
                <w:sz w:val="24"/>
                <w:szCs w:val="24"/>
              </w:rPr>
            </w:pPr>
            <w:r>
              <w:rPr>
                <w:rFonts w:ascii="Verdana" w:hAnsi="Verdana"/>
                <w:sz w:val="24"/>
                <w:szCs w:val="24"/>
              </w:rPr>
              <w:t>Awarding organisations inform centres about the implications of not providing this service.</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Success criteria</w:t>
            </w:r>
          </w:p>
        </w:tc>
        <w:tc>
          <w:tcPr>
            <w:tcW w:w="0" w:type="auto"/>
            <w:vAlign w:val="center"/>
            <w:hideMark/>
          </w:tcPr>
          <w:p>
            <w:pPr>
              <w:rPr>
                <w:rFonts w:ascii="Verdana" w:hAnsi="Verdana"/>
                <w:sz w:val="24"/>
                <w:szCs w:val="24"/>
              </w:rPr>
            </w:pPr>
            <w:r>
              <w:rPr>
                <w:rFonts w:ascii="Verdana" w:hAnsi="Verdana"/>
                <w:sz w:val="24"/>
                <w:szCs w:val="24"/>
              </w:rPr>
              <w:t>Candidates are offered a post results service using alternative methods.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Further advice and information</w:t>
            </w:r>
          </w:p>
        </w:tc>
        <w:tc>
          <w:tcPr>
            <w:tcW w:w="0" w:type="auto"/>
            <w:vAlign w:val="center"/>
            <w:hideMark/>
          </w:tcPr>
          <w:p>
            <w:pPr>
              <w:rPr>
                <w:rFonts w:ascii="Verdana" w:hAnsi="Verdana"/>
                <w:sz w:val="24"/>
                <w:szCs w:val="24"/>
              </w:rPr>
            </w:pPr>
            <w:r>
              <w:rPr>
                <w:rFonts w:ascii="Verdana" w:hAnsi="Verdana"/>
                <w:sz w:val="24"/>
                <w:szCs w:val="24"/>
              </w:rPr>
              <w:t>Not applicable</w:t>
            </w:r>
          </w:p>
        </w:tc>
      </w:tr>
    </w:tbl>
    <w:p>
      <w:pPr>
        <w:rPr>
          <w:rFonts w:ascii="Verdana" w:hAnsi="Verdana"/>
          <w:b/>
          <w:bCs/>
          <w:sz w:val="24"/>
          <w:szCs w:val="24"/>
          <w:lang w:val="en"/>
        </w:rPr>
      </w:pPr>
      <w:r>
        <w:rPr>
          <w:rFonts w:ascii="Verdana" w:hAnsi="Verdana"/>
          <w:b/>
          <w:bCs/>
          <w:sz w:val="24"/>
          <w:szCs w:val="24"/>
          <w:lang w:val="en"/>
        </w:rPr>
        <w:t>4. Summary of responsibilities in the event of disruption to examinations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4837"/>
      </w:tblGrid>
      <w:tr>
        <w:trPr>
          <w:tblHeader/>
          <w:tblCellSpacing w:w="15" w:type="dxa"/>
        </w:trPr>
        <w:tc>
          <w:tcPr>
            <w:tcW w:w="0" w:type="auto"/>
            <w:vAlign w:val="center"/>
            <w:hideMark/>
          </w:tcPr>
          <w:p>
            <w:pPr>
              <w:rPr>
                <w:rFonts w:ascii="Verdana" w:hAnsi="Verdana"/>
                <w:b/>
                <w:bCs/>
                <w:sz w:val="24"/>
                <w:szCs w:val="24"/>
              </w:rPr>
            </w:pPr>
            <w:r>
              <w:rPr>
                <w:rFonts w:ascii="Verdana" w:hAnsi="Verdana"/>
                <w:b/>
                <w:bCs/>
                <w:sz w:val="24"/>
                <w:szCs w:val="24"/>
              </w:rPr>
              <w:t>Awarding organisations are responsible for:</w:t>
            </w:r>
          </w:p>
        </w:tc>
        <w:tc>
          <w:tcPr>
            <w:tcW w:w="0" w:type="auto"/>
            <w:vAlign w:val="center"/>
            <w:hideMark/>
          </w:tcPr>
          <w:p>
            <w:pPr>
              <w:rPr>
                <w:rFonts w:ascii="Verdana" w:hAnsi="Verdana"/>
                <w:b/>
                <w:bCs/>
                <w:sz w:val="24"/>
                <w:szCs w:val="24"/>
              </w:rPr>
            </w:pPr>
            <w:r>
              <w:rPr>
                <w:rFonts w:ascii="Verdana" w:hAnsi="Verdana"/>
                <w:b/>
                <w:bCs/>
                <w:sz w:val="24"/>
                <w:szCs w:val="24"/>
              </w:rPr>
              <w:t>Examination centres are responsible for:</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Offering advice regarding communication with candidates, parents and carers</w:t>
            </w:r>
          </w:p>
        </w:tc>
        <w:tc>
          <w:tcPr>
            <w:tcW w:w="0" w:type="auto"/>
            <w:vAlign w:val="center"/>
            <w:hideMark/>
          </w:tcPr>
          <w:p>
            <w:pPr>
              <w:rPr>
                <w:rFonts w:ascii="Verdana" w:hAnsi="Verdana"/>
                <w:sz w:val="24"/>
                <w:szCs w:val="24"/>
              </w:rPr>
            </w:pPr>
            <w:r>
              <w:rPr>
                <w:rFonts w:ascii="Verdana" w:hAnsi="Verdana"/>
                <w:sz w:val="24"/>
                <w:szCs w:val="24"/>
              </w:rPr>
              <w:t>Communicating with candidates, parents and carers.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w:t>
            </w:r>
          </w:p>
        </w:tc>
        <w:tc>
          <w:tcPr>
            <w:tcW w:w="0" w:type="auto"/>
            <w:vAlign w:val="center"/>
            <w:hideMark/>
          </w:tcPr>
          <w:p>
            <w:pPr>
              <w:rPr>
                <w:rFonts w:ascii="Verdana" w:hAnsi="Verdana"/>
                <w:sz w:val="24"/>
                <w:szCs w:val="24"/>
              </w:rPr>
            </w:pPr>
            <w:r>
              <w:rPr>
                <w:rFonts w:ascii="Verdana" w:hAnsi="Verdana"/>
                <w:sz w:val="24"/>
                <w:szCs w:val="24"/>
              </w:rPr>
              <w:t>Preparing plans for any disruption to exams as part of general emergency planning.</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Ensuring centres receive examination materials for scheduled examinations</w:t>
            </w:r>
          </w:p>
        </w:tc>
        <w:tc>
          <w:tcPr>
            <w:tcW w:w="0" w:type="auto"/>
            <w:vAlign w:val="center"/>
            <w:hideMark/>
          </w:tcPr>
          <w:p>
            <w:pPr>
              <w:rPr>
                <w:rFonts w:ascii="Verdana" w:hAnsi="Verdana"/>
                <w:sz w:val="24"/>
                <w:szCs w:val="24"/>
              </w:rPr>
            </w:pPr>
            <w:r>
              <w:rPr>
                <w:rFonts w:ascii="Verdana" w:hAnsi="Verdana"/>
                <w:sz w:val="24"/>
                <w:szCs w:val="24"/>
              </w:rPr>
              <w:t>Preparing candidates for examinations.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w:t>
            </w:r>
          </w:p>
        </w:tc>
        <w:tc>
          <w:tcPr>
            <w:tcW w:w="0" w:type="auto"/>
            <w:vAlign w:val="center"/>
            <w:hideMark/>
          </w:tcPr>
          <w:p>
            <w:pPr>
              <w:rPr>
                <w:rFonts w:ascii="Verdana" w:hAnsi="Verdana"/>
                <w:sz w:val="24"/>
                <w:szCs w:val="24"/>
              </w:rPr>
            </w:pPr>
            <w:r>
              <w:rPr>
                <w:rFonts w:ascii="Verdana" w:hAnsi="Verdana"/>
                <w:sz w:val="24"/>
                <w:szCs w:val="24"/>
              </w:rPr>
              <w:t>Ensuring examinations and assessments are taken under the conditions prescribed by awarding bodies. organisations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w:t>
            </w:r>
          </w:p>
        </w:tc>
        <w:tc>
          <w:tcPr>
            <w:tcW w:w="0" w:type="auto"/>
            <w:vAlign w:val="center"/>
            <w:hideMark/>
          </w:tcPr>
          <w:p>
            <w:pPr>
              <w:rPr>
                <w:rFonts w:ascii="Verdana" w:hAnsi="Verdana"/>
                <w:sz w:val="24"/>
                <w:szCs w:val="24"/>
              </w:rPr>
            </w:pPr>
            <w:r>
              <w:rPr>
                <w:rFonts w:ascii="Verdana" w:hAnsi="Verdana"/>
                <w:sz w:val="24"/>
                <w:szCs w:val="24"/>
              </w:rPr>
              <w:t>Ensuring, where relevant, that assessment materials and candidate work are stored under secure conditions.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w:t>
            </w:r>
          </w:p>
        </w:tc>
        <w:tc>
          <w:tcPr>
            <w:tcW w:w="0" w:type="auto"/>
            <w:vAlign w:val="center"/>
            <w:hideMark/>
          </w:tcPr>
          <w:p>
            <w:pPr>
              <w:rPr>
                <w:rFonts w:ascii="Verdana" w:hAnsi="Verdana"/>
                <w:sz w:val="24"/>
                <w:szCs w:val="24"/>
              </w:rPr>
            </w:pPr>
            <w:r>
              <w:rPr>
                <w:rFonts w:ascii="Verdana" w:hAnsi="Verdana"/>
                <w:sz w:val="24"/>
                <w:szCs w:val="24"/>
              </w:rPr>
              <w:t xml:space="preserve">Deciding whether the centre can open for examinations as scheduled and </w:t>
            </w:r>
            <w:r>
              <w:rPr>
                <w:rFonts w:ascii="Verdana" w:hAnsi="Verdana"/>
                <w:sz w:val="24"/>
                <w:szCs w:val="24"/>
              </w:rPr>
              <w:lastRenderedPageBreak/>
              <w:t>informing relevant awarding organisations if the centre is unable to open.</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lastRenderedPageBreak/>
              <w:t>Advising centres on possible alternative examination arrangements and declining or approving proposals for alternative examination arrangements</w:t>
            </w:r>
          </w:p>
        </w:tc>
        <w:tc>
          <w:tcPr>
            <w:tcW w:w="0" w:type="auto"/>
            <w:vAlign w:val="center"/>
            <w:hideMark/>
          </w:tcPr>
          <w:p>
            <w:pPr>
              <w:rPr>
                <w:rFonts w:ascii="Verdana" w:hAnsi="Verdana"/>
                <w:sz w:val="24"/>
                <w:szCs w:val="24"/>
              </w:rPr>
            </w:pPr>
            <w:r>
              <w:rPr>
                <w:rFonts w:ascii="Verdana" w:hAnsi="Verdana"/>
                <w:sz w:val="24"/>
                <w:szCs w:val="24"/>
              </w:rPr>
              <w:t>Exploring the opportunities for alternative arrangements if the centre cannot open for examinations and agreeing such arrangements with the awarding organisations.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Evaluating and declining or approving requests for special consideration</w:t>
            </w:r>
          </w:p>
        </w:tc>
        <w:tc>
          <w:tcPr>
            <w:tcW w:w="0" w:type="auto"/>
            <w:vAlign w:val="center"/>
            <w:hideMark/>
          </w:tcPr>
          <w:p>
            <w:pPr>
              <w:rPr>
                <w:rFonts w:ascii="Verdana" w:hAnsi="Verdana"/>
                <w:sz w:val="24"/>
                <w:szCs w:val="24"/>
              </w:rPr>
            </w:pPr>
            <w:r>
              <w:rPr>
                <w:rFonts w:ascii="Verdana" w:hAnsi="Verdana"/>
                <w:sz w:val="24"/>
                <w:szCs w:val="24"/>
              </w:rPr>
              <w:t>Judging whether candidates meet the requirements for special consideration as a result of any disruption and submitting these requests to the relevant awarding organisations.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 </w:t>
            </w:r>
          </w:p>
        </w:tc>
        <w:tc>
          <w:tcPr>
            <w:tcW w:w="0" w:type="auto"/>
            <w:vAlign w:val="center"/>
            <w:hideMark/>
          </w:tcPr>
          <w:p>
            <w:pPr>
              <w:rPr>
                <w:rFonts w:ascii="Verdana" w:hAnsi="Verdana"/>
                <w:sz w:val="24"/>
                <w:szCs w:val="24"/>
              </w:rPr>
            </w:pPr>
            <w:r>
              <w:rPr>
                <w:rFonts w:ascii="Verdana" w:hAnsi="Verdana"/>
                <w:sz w:val="24"/>
                <w:szCs w:val="24"/>
              </w:rPr>
              <w:t>Assessing and liaising with awarding organisations in the event of disruption to the transportation of papers.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Marking, moderating and grading candidate work</w:t>
            </w:r>
          </w:p>
        </w:tc>
        <w:tc>
          <w:tcPr>
            <w:tcW w:w="0" w:type="auto"/>
            <w:vAlign w:val="center"/>
            <w:hideMark/>
          </w:tcPr>
          <w:p>
            <w:pPr>
              <w:rPr>
                <w:rFonts w:ascii="Verdana" w:hAnsi="Verdana"/>
                <w:sz w:val="24"/>
                <w:szCs w:val="24"/>
              </w:rPr>
            </w:pPr>
            <w:r>
              <w:rPr>
                <w:rFonts w:ascii="Verdana" w:hAnsi="Verdana"/>
                <w:sz w:val="24"/>
                <w:szCs w:val="24"/>
              </w:rPr>
              <w:t>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Issuing results to centres on scheduled dates</w:t>
            </w:r>
          </w:p>
        </w:tc>
        <w:tc>
          <w:tcPr>
            <w:tcW w:w="0" w:type="auto"/>
            <w:vAlign w:val="center"/>
            <w:hideMark/>
          </w:tcPr>
          <w:p>
            <w:pPr>
              <w:rPr>
                <w:rFonts w:ascii="Verdana" w:hAnsi="Verdana"/>
                <w:sz w:val="24"/>
                <w:szCs w:val="24"/>
              </w:rPr>
            </w:pPr>
            <w:r>
              <w:rPr>
                <w:rFonts w:ascii="Verdana" w:hAnsi="Verdana"/>
                <w:sz w:val="24"/>
                <w:szCs w:val="24"/>
              </w:rPr>
              <w:t>The distribution of examination results to candidates.</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Advising UCAS and CAO about any delays that may impact on their deadlines</w:t>
            </w:r>
          </w:p>
        </w:tc>
        <w:tc>
          <w:tcPr>
            <w:tcW w:w="0" w:type="auto"/>
            <w:vAlign w:val="center"/>
            <w:hideMark/>
          </w:tcPr>
          <w:p>
            <w:pPr>
              <w:rPr>
                <w:rFonts w:ascii="Verdana" w:hAnsi="Verdana"/>
                <w:sz w:val="24"/>
                <w:szCs w:val="24"/>
              </w:rPr>
            </w:pPr>
            <w:r>
              <w:rPr>
                <w:rFonts w:ascii="Verdana" w:hAnsi="Verdana"/>
                <w:sz w:val="24"/>
                <w:szCs w:val="24"/>
              </w:rPr>
              <w:t> </w:t>
            </w:r>
          </w:p>
        </w:tc>
      </w:tr>
      <w:tr>
        <w:trPr>
          <w:tblCellSpacing w:w="15" w:type="dxa"/>
        </w:trPr>
        <w:tc>
          <w:tcPr>
            <w:tcW w:w="0" w:type="auto"/>
            <w:vAlign w:val="center"/>
            <w:hideMark/>
          </w:tcPr>
          <w:p>
            <w:pPr>
              <w:rPr>
                <w:rFonts w:ascii="Verdana" w:hAnsi="Verdana"/>
                <w:sz w:val="24"/>
                <w:szCs w:val="24"/>
              </w:rPr>
            </w:pPr>
            <w:r>
              <w:rPr>
                <w:rFonts w:ascii="Verdana" w:hAnsi="Verdana"/>
                <w:sz w:val="24"/>
                <w:szCs w:val="24"/>
              </w:rPr>
              <w:t>Making a post results service available</w:t>
            </w:r>
          </w:p>
        </w:tc>
        <w:tc>
          <w:tcPr>
            <w:tcW w:w="0" w:type="auto"/>
            <w:vAlign w:val="center"/>
            <w:hideMark/>
          </w:tcPr>
          <w:p>
            <w:pPr>
              <w:rPr>
                <w:rFonts w:ascii="Verdana" w:hAnsi="Verdana"/>
                <w:sz w:val="24"/>
                <w:szCs w:val="24"/>
              </w:rPr>
            </w:pPr>
            <w:r>
              <w:rPr>
                <w:rFonts w:ascii="Verdana" w:hAnsi="Verdana"/>
                <w:sz w:val="24"/>
                <w:szCs w:val="24"/>
              </w:rPr>
              <w:t>Offering a post results service.</w:t>
            </w:r>
          </w:p>
        </w:tc>
      </w:tr>
    </w:tbl>
    <w:p>
      <w:pPr>
        <w:rPr>
          <w:rFonts w:ascii="Verdana" w:hAnsi="Verdana"/>
          <w:sz w:val="24"/>
          <w:szCs w:val="24"/>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20BFC"/>
    <w:multiLevelType w:val="hybridMultilevel"/>
    <w:tmpl w:val="9B244E2C"/>
    <w:lvl w:ilvl="0" w:tplc="D89A2C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2BFC5-4639-4277-A1BC-5BA8F912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pPr>
      <w:widowControl w:val="0"/>
      <w:spacing w:after="0" w:line="658" w:lineRule="exact"/>
      <w:ind w:left="1665" w:right="1685"/>
      <w:jc w:val="center"/>
      <w:outlineLvl w:val="0"/>
    </w:pPr>
    <w:rPr>
      <w:rFonts w:ascii="Batang" w:eastAsia="Batang" w:hAnsi="Batang" w:cs="Batang"/>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rPr>
      <w:rFonts w:ascii="Batang" w:eastAsia="Batang" w:hAnsi="Batang" w:cs="Batang"/>
      <w:sz w:val="56"/>
      <w:szCs w:val="56"/>
      <w:lang w:val="en-US"/>
    </w:rPr>
  </w:style>
  <w:style w:type="paragraph" w:styleId="BodyText">
    <w:name w:val="Body Text"/>
    <w:basedOn w:val="Normal"/>
    <w:link w:val="BodyTextChar"/>
    <w:uiPriority w:val="1"/>
    <w:qFormat/>
    <w:pPr>
      <w:widowControl w:val="0"/>
      <w:spacing w:after="0" w:line="240" w:lineRule="auto"/>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Pr>
      <w:rFonts w:ascii="Verdana" w:eastAsia="Verdana" w:hAnsi="Verdana" w:cs="Verdana"/>
      <w:sz w:val="24"/>
      <w:szCs w:val="24"/>
      <w:lang w:val="en-US"/>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82150">
      <w:bodyDiv w:val="1"/>
      <w:marLeft w:val="0"/>
      <w:marRight w:val="0"/>
      <w:marTop w:val="0"/>
      <w:marBottom w:val="0"/>
      <w:divBdr>
        <w:top w:val="none" w:sz="0" w:space="0" w:color="auto"/>
        <w:left w:val="none" w:sz="0" w:space="0" w:color="auto"/>
        <w:bottom w:val="none" w:sz="0" w:space="0" w:color="auto"/>
        <w:right w:val="none" w:sz="0" w:space="0" w:color="auto"/>
      </w:divBdr>
      <w:divsChild>
        <w:div w:id="1545676247">
          <w:marLeft w:val="0"/>
          <w:marRight w:val="0"/>
          <w:marTop w:val="0"/>
          <w:marBottom w:val="0"/>
          <w:divBdr>
            <w:top w:val="none" w:sz="0" w:space="0" w:color="auto"/>
            <w:left w:val="none" w:sz="0" w:space="0" w:color="auto"/>
            <w:bottom w:val="none" w:sz="0" w:space="0" w:color="auto"/>
            <w:right w:val="none" w:sz="0" w:space="0" w:color="auto"/>
          </w:divBdr>
          <w:divsChild>
            <w:div w:id="590090871">
              <w:marLeft w:val="0"/>
              <w:marRight w:val="0"/>
              <w:marTop w:val="0"/>
              <w:marBottom w:val="0"/>
              <w:divBdr>
                <w:top w:val="none" w:sz="0" w:space="0" w:color="auto"/>
                <w:left w:val="none" w:sz="0" w:space="0" w:color="auto"/>
                <w:bottom w:val="none" w:sz="0" w:space="0" w:color="auto"/>
                <w:right w:val="none" w:sz="0" w:space="0" w:color="auto"/>
              </w:divBdr>
              <w:divsChild>
                <w:div w:id="430930953">
                  <w:marLeft w:val="0"/>
                  <w:marRight w:val="0"/>
                  <w:marTop w:val="0"/>
                  <w:marBottom w:val="0"/>
                  <w:divBdr>
                    <w:top w:val="none" w:sz="0" w:space="0" w:color="auto"/>
                    <w:left w:val="none" w:sz="0" w:space="0" w:color="auto"/>
                    <w:bottom w:val="none" w:sz="0" w:space="0" w:color="auto"/>
                    <w:right w:val="none" w:sz="0" w:space="0" w:color="auto"/>
                  </w:divBdr>
                  <w:divsChild>
                    <w:div w:id="2136017738">
                      <w:marLeft w:val="0"/>
                      <w:marRight w:val="0"/>
                      <w:marTop w:val="0"/>
                      <w:marBottom w:val="0"/>
                      <w:divBdr>
                        <w:top w:val="none" w:sz="0" w:space="0" w:color="auto"/>
                        <w:left w:val="none" w:sz="0" w:space="0" w:color="auto"/>
                        <w:bottom w:val="none" w:sz="0" w:space="0" w:color="auto"/>
                        <w:right w:val="none" w:sz="0" w:space="0" w:color="auto"/>
                      </w:divBdr>
                      <w:divsChild>
                        <w:div w:id="162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030807">
      <w:bodyDiv w:val="1"/>
      <w:marLeft w:val="0"/>
      <w:marRight w:val="0"/>
      <w:marTop w:val="0"/>
      <w:marBottom w:val="0"/>
      <w:divBdr>
        <w:top w:val="none" w:sz="0" w:space="0" w:color="auto"/>
        <w:left w:val="none" w:sz="0" w:space="0" w:color="auto"/>
        <w:bottom w:val="none" w:sz="0" w:space="0" w:color="auto"/>
        <w:right w:val="none" w:sz="0" w:space="0" w:color="auto"/>
      </w:divBdr>
      <w:divsChild>
        <w:div w:id="45376117">
          <w:marLeft w:val="0"/>
          <w:marRight w:val="0"/>
          <w:marTop w:val="0"/>
          <w:marBottom w:val="0"/>
          <w:divBdr>
            <w:top w:val="none" w:sz="0" w:space="0" w:color="auto"/>
            <w:left w:val="none" w:sz="0" w:space="0" w:color="auto"/>
            <w:bottom w:val="none" w:sz="0" w:space="0" w:color="auto"/>
            <w:right w:val="none" w:sz="0" w:space="0" w:color="auto"/>
          </w:divBdr>
          <w:divsChild>
            <w:div w:id="801923416">
              <w:marLeft w:val="0"/>
              <w:marRight w:val="0"/>
              <w:marTop w:val="0"/>
              <w:marBottom w:val="0"/>
              <w:divBdr>
                <w:top w:val="none" w:sz="0" w:space="0" w:color="auto"/>
                <w:left w:val="none" w:sz="0" w:space="0" w:color="auto"/>
                <w:bottom w:val="none" w:sz="0" w:space="0" w:color="auto"/>
                <w:right w:val="none" w:sz="0" w:space="0" w:color="auto"/>
              </w:divBdr>
              <w:divsChild>
                <w:div w:id="1102144367">
                  <w:marLeft w:val="0"/>
                  <w:marRight w:val="0"/>
                  <w:marTop w:val="0"/>
                  <w:marBottom w:val="0"/>
                  <w:divBdr>
                    <w:top w:val="none" w:sz="0" w:space="0" w:color="auto"/>
                    <w:left w:val="none" w:sz="0" w:space="0" w:color="auto"/>
                    <w:bottom w:val="none" w:sz="0" w:space="0" w:color="auto"/>
                    <w:right w:val="none" w:sz="0" w:space="0" w:color="auto"/>
                  </w:divBdr>
                  <w:divsChild>
                    <w:div w:id="1704591722">
                      <w:marLeft w:val="0"/>
                      <w:marRight w:val="0"/>
                      <w:marTop w:val="0"/>
                      <w:marBottom w:val="0"/>
                      <w:divBdr>
                        <w:top w:val="none" w:sz="0" w:space="0" w:color="auto"/>
                        <w:left w:val="none" w:sz="0" w:space="0" w:color="auto"/>
                        <w:bottom w:val="none" w:sz="0" w:space="0" w:color="auto"/>
                        <w:right w:val="none" w:sz="0" w:space="0" w:color="auto"/>
                      </w:divBdr>
                      <w:divsChild>
                        <w:div w:id="902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04965">
      <w:bodyDiv w:val="1"/>
      <w:marLeft w:val="0"/>
      <w:marRight w:val="0"/>
      <w:marTop w:val="0"/>
      <w:marBottom w:val="0"/>
      <w:divBdr>
        <w:top w:val="none" w:sz="0" w:space="0" w:color="auto"/>
        <w:left w:val="none" w:sz="0" w:space="0" w:color="auto"/>
        <w:bottom w:val="none" w:sz="0" w:space="0" w:color="auto"/>
        <w:right w:val="none" w:sz="0" w:space="0" w:color="auto"/>
      </w:divBdr>
      <w:divsChild>
        <w:div w:id="1779250162">
          <w:marLeft w:val="0"/>
          <w:marRight w:val="0"/>
          <w:marTop w:val="0"/>
          <w:marBottom w:val="0"/>
          <w:divBdr>
            <w:top w:val="none" w:sz="0" w:space="0" w:color="auto"/>
            <w:left w:val="none" w:sz="0" w:space="0" w:color="auto"/>
            <w:bottom w:val="none" w:sz="0" w:space="0" w:color="auto"/>
            <w:right w:val="none" w:sz="0" w:space="0" w:color="auto"/>
          </w:divBdr>
          <w:divsChild>
            <w:div w:id="1649824139">
              <w:marLeft w:val="0"/>
              <w:marRight w:val="0"/>
              <w:marTop w:val="0"/>
              <w:marBottom w:val="0"/>
              <w:divBdr>
                <w:top w:val="none" w:sz="0" w:space="0" w:color="auto"/>
                <w:left w:val="none" w:sz="0" w:space="0" w:color="auto"/>
                <w:bottom w:val="none" w:sz="0" w:space="0" w:color="auto"/>
                <w:right w:val="none" w:sz="0" w:space="0" w:color="auto"/>
              </w:divBdr>
              <w:divsChild>
                <w:div w:id="557713958">
                  <w:marLeft w:val="0"/>
                  <w:marRight w:val="0"/>
                  <w:marTop w:val="0"/>
                  <w:marBottom w:val="0"/>
                  <w:divBdr>
                    <w:top w:val="none" w:sz="0" w:space="0" w:color="auto"/>
                    <w:left w:val="none" w:sz="0" w:space="0" w:color="auto"/>
                    <w:bottom w:val="none" w:sz="0" w:space="0" w:color="auto"/>
                    <w:right w:val="none" w:sz="0" w:space="0" w:color="auto"/>
                  </w:divBdr>
                  <w:divsChild>
                    <w:div w:id="1334140251">
                      <w:marLeft w:val="0"/>
                      <w:marRight w:val="0"/>
                      <w:marTop w:val="0"/>
                      <w:marBottom w:val="0"/>
                      <w:divBdr>
                        <w:top w:val="none" w:sz="0" w:space="0" w:color="auto"/>
                        <w:left w:val="none" w:sz="0" w:space="0" w:color="auto"/>
                        <w:bottom w:val="none" w:sz="0" w:space="0" w:color="auto"/>
                        <w:right w:val="none" w:sz="0" w:space="0" w:color="auto"/>
                      </w:divBdr>
                      <w:divsChild>
                        <w:div w:id="15021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643077">
      <w:bodyDiv w:val="1"/>
      <w:marLeft w:val="0"/>
      <w:marRight w:val="0"/>
      <w:marTop w:val="0"/>
      <w:marBottom w:val="0"/>
      <w:divBdr>
        <w:top w:val="none" w:sz="0" w:space="0" w:color="auto"/>
        <w:left w:val="none" w:sz="0" w:space="0" w:color="auto"/>
        <w:bottom w:val="none" w:sz="0" w:space="0" w:color="auto"/>
        <w:right w:val="none" w:sz="0" w:space="0" w:color="auto"/>
      </w:divBdr>
      <w:divsChild>
        <w:div w:id="415709454">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sChild>
                <w:div w:id="119879175">
                  <w:marLeft w:val="0"/>
                  <w:marRight w:val="0"/>
                  <w:marTop w:val="0"/>
                  <w:marBottom w:val="0"/>
                  <w:divBdr>
                    <w:top w:val="none" w:sz="0" w:space="0" w:color="auto"/>
                    <w:left w:val="none" w:sz="0" w:space="0" w:color="auto"/>
                    <w:bottom w:val="none" w:sz="0" w:space="0" w:color="auto"/>
                    <w:right w:val="none" w:sz="0" w:space="0" w:color="auto"/>
                  </w:divBdr>
                  <w:divsChild>
                    <w:div w:id="892077844">
                      <w:marLeft w:val="0"/>
                      <w:marRight w:val="0"/>
                      <w:marTop w:val="0"/>
                      <w:marBottom w:val="0"/>
                      <w:divBdr>
                        <w:top w:val="none" w:sz="0" w:space="0" w:color="auto"/>
                        <w:left w:val="none" w:sz="0" w:space="0" w:color="auto"/>
                        <w:bottom w:val="none" w:sz="0" w:space="0" w:color="auto"/>
                        <w:right w:val="none" w:sz="0" w:space="0" w:color="auto"/>
                      </w:divBdr>
                      <w:divsChild>
                        <w:div w:id="16896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85971">
      <w:bodyDiv w:val="1"/>
      <w:marLeft w:val="0"/>
      <w:marRight w:val="0"/>
      <w:marTop w:val="0"/>
      <w:marBottom w:val="0"/>
      <w:divBdr>
        <w:top w:val="none" w:sz="0" w:space="0" w:color="auto"/>
        <w:left w:val="none" w:sz="0" w:space="0" w:color="auto"/>
        <w:bottom w:val="none" w:sz="0" w:space="0" w:color="auto"/>
        <w:right w:val="none" w:sz="0" w:space="0" w:color="auto"/>
      </w:divBdr>
      <w:divsChild>
        <w:div w:id="391923983">
          <w:marLeft w:val="0"/>
          <w:marRight w:val="0"/>
          <w:marTop w:val="0"/>
          <w:marBottom w:val="0"/>
          <w:divBdr>
            <w:top w:val="none" w:sz="0" w:space="0" w:color="auto"/>
            <w:left w:val="none" w:sz="0" w:space="0" w:color="auto"/>
            <w:bottom w:val="none" w:sz="0" w:space="0" w:color="auto"/>
            <w:right w:val="none" w:sz="0" w:space="0" w:color="auto"/>
          </w:divBdr>
          <w:divsChild>
            <w:div w:id="120156025">
              <w:marLeft w:val="0"/>
              <w:marRight w:val="0"/>
              <w:marTop w:val="0"/>
              <w:marBottom w:val="0"/>
              <w:divBdr>
                <w:top w:val="none" w:sz="0" w:space="0" w:color="auto"/>
                <w:left w:val="none" w:sz="0" w:space="0" w:color="auto"/>
                <w:bottom w:val="none" w:sz="0" w:space="0" w:color="auto"/>
                <w:right w:val="none" w:sz="0" w:space="0" w:color="auto"/>
              </w:divBdr>
              <w:divsChild>
                <w:div w:id="365259190">
                  <w:marLeft w:val="0"/>
                  <w:marRight w:val="0"/>
                  <w:marTop w:val="0"/>
                  <w:marBottom w:val="0"/>
                  <w:divBdr>
                    <w:top w:val="none" w:sz="0" w:space="0" w:color="auto"/>
                    <w:left w:val="none" w:sz="0" w:space="0" w:color="auto"/>
                    <w:bottom w:val="none" w:sz="0" w:space="0" w:color="auto"/>
                    <w:right w:val="none" w:sz="0" w:space="0" w:color="auto"/>
                  </w:divBdr>
                  <w:divsChild>
                    <w:div w:id="911044436">
                      <w:marLeft w:val="0"/>
                      <w:marRight w:val="0"/>
                      <w:marTop w:val="0"/>
                      <w:marBottom w:val="0"/>
                      <w:divBdr>
                        <w:top w:val="none" w:sz="0" w:space="0" w:color="auto"/>
                        <w:left w:val="none" w:sz="0" w:space="0" w:color="auto"/>
                        <w:bottom w:val="none" w:sz="0" w:space="0" w:color="auto"/>
                        <w:right w:val="none" w:sz="0" w:space="0" w:color="auto"/>
                      </w:divBdr>
                      <w:divsChild>
                        <w:div w:id="423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mergencies-and-severe-weather-schools-and-early-years-set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school-organisation-maintained-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cq.org.uk/examination-system/the-life-of-a-script" TargetMode="External"/><Relationship Id="rId5" Type="http://schemas.openxmlformats.org/officeDocument/2006/relationships/footnotes" Target="footnotes.xml"/><Relationship Id="rId10" Type="http://schemas.openxmlformats.org/officeDocument/2006/relationships/hyperlink" Target="http://www.jcq.org.uk/exams-office/access-arrangements-and-special-consideration/regulations-and-guidance" TargetMode="External"/><Relationship Id="rId4" Type="http://schemas.openxmlformats.org/officeDocument/2006/relationships/webSettings" Target="webSettings.xml"/><Relationship Id="rId9" Type="http://schemas.openxmlformats.org/officeDocument/2006/relationships/hyperlink" Target="https://www.gov.uk/government/publications/school-organisation-maintained-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14406336</Template>
  <TotalTime>1</TotalTime>
  <Pages>14</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McCann</dc:creator>
  <cp:lastModifiedBy>B Sharkey</cp:lastModifiedBy>
  <cp:revision>2</cp:revision>
  <cp:lastPrinted>2017-04-10T09:31:00Z</cp:lastPrinted>
  <dcterms:created xsi:type="dcterms:W3CDTF">2021-11-22T08:44:00Z</dcterms:created>
  <dcterms:modified xsi:type="dcterms:W3CDTF">2021-11-22T08:44:00Z</dcterms:modified>
</cp:coreProperties>
</file>